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100" w:rsidRPr="00EC651E" w:rsidRDefault="001E1875">
      <w:r>
        <w:t>Translation</w:t>
      </w:r>
      <w:r w:rsidR="00A40702" w:rsidRPr="00EC651E">
        <w:t xml:space="preserve"> „Reparaturverfahren in der Kanalnetzinstandhaltung</w:t>
      </w:r>
      <w:r>
        <w:t xml:space="preserve"> BI Umweltbau 5/2012</w:t>
      </w:r>
      <w:r w:rsidR="00A40702" w:rsidRPr="00EC651E">
        <w:t>“</w:t>
      </w:r>
    </w:p>
    <w:p w:rsidR="00A40702" w:rsidRDefault="00A40702"/>
    <w:p w:rsidR="00EC651E" w:rsidRPr="00EC651E" w:rsidRDefault="00EC651E"/>
    <w:p w:rsidR="00A40702" w:rsidRDefault="00A40702">
      <w:pPr>
        <w:rPr>
          <w:b/>
          <w:lang w:val="en-US"/>
        </w:rPr>
      </w:pPr>
      <w:r w:rsidRPr="00D81774">
        <w:rPr>
          <w:b/>
          <w:lang w:val="en-US"/>
        </w:rPr>
        <w:t>Maintenance of the Sewer Grid</w:t>
      </w:r>
      <w:r w:rsidR="00366F8B" w:rsidRPr="00D81774">
        <w:rPr>
          <w:b/>
          <w:lang w:val="en-US"/>
        </w:rPr>
        <w:t>: Repair Methods</w:t>
      </w:r>
    </w:p>
    <w:p w:rsidR="00D81774" w:rsidRPr="00D81774" w:rsidRDefault="00D81774">
      <w:pPr>
        <w:rPr>
          <w:b/>
          <w:lang w:val="en-US"/>
        </w:rPr>
      </w:pPr>
    </w:p>
    <w:p w:rsidR="00366F8B" w:rsidRPr="00EC651E" w:rsidRDefault="00366F8B">
      <w:pPr>
        <w:rPr>
          <w:b/>
          <w:sz w:val="28"/>
          <w:szCs w:val="28"/>
          <w:lang w:val="en-US"/>
        </w:rPr>
      </w:pPr>
      <w:r w:rsidRPr="00EC651E">
        <w:rPr>
          <w:b/>
          <w:sz w:val="28"/>
          <w:szCs w:val="28"/>
          <w:lang w:val="en-US"/>
        </w:rPr>
        <w:t>A report on experiences made in the Ruhr Valley</w:t>
      </w:r>
      <w:r w:rsidR="001E1875">
        <w:rPr>
          <w:b/>
          <w:sz w:val="28"/>
          <w:szCs w:val="28"/>
          <w:lang w:val="en-US"/>
        </w:rPr>
        <w:t>, Germany</w:t>
      </w:r>
    </w:p>
    <w:p w:rsidR="00EC651E" w:rsidRDefault="00EC651E">
      <w:pPr>
        <w:rPr>
          <w:lang w:val="en-US"/>
        </w:rPr>
      </w:pPr>
    </w:p>
    <w:p w:rsidR="00EC651E" w:rsidRDefault="00EC651E">
      <w:pPr>
        <w:rPr>
          <w:lang w:val="en-US"/>
        </w:rPr>
      </w:pPr>
    </w:p>
    <w:p w:rsidR="00EC651E" w:rsidRDefault="00EC651E" w:rsidP="00EC651E">
      <w:r w:rsidRPr="009E6577">
        <w:rPr>
          <w:lang w:val="en-US"/>
        </w:rPr>
        <w:t>Authors:</w:t>
      </w:r>
      <w:r w:rsidRPr="009E6577">
        <w:rPr>
          <w:lang w:val="en-US"/>
        </w:rPr>
        <w:tab/>
        <w:t>Dipl.-</w:t>
      </w:r>
      <w:proofErr w:type="spellStart"/>
      <w:r w:rsidRPr="009E6577">
        <w:rPr>
          <w:lang w:val="en-US"/>
        </w:rPr>
        <w:t>Ing</w:t>
      </w:r>
      <w:proofErr w:type="spellEnd"/>
      <w:r w:rsidRPr="009E6577">
        <w:rPr>
          <w:lang w:val="en-US"/>
        </w:rPr>
        <w:t xml:space="preserve">. (FH), M. Eng. </w:t>
      </w:r>
      <w:r>
        <w:t>Volker Hülshorst, Stadtwerke Essen AG</w:t>
      </w:r>
    </w:p>
    <w:p w:rsidR="00EC651E" w:rsidRDefault="00EC651E" w:rsidP="00EC651E">
      <w:pPr>
        <w:ind w:left="1425"/>
      </w:pPr>
      <w:r>
        <w:t>Dipl.-Ing. Frank Großklags, Stadt Bochum</w:t>
      </w:r>
    </w:p>
    <w:p w:rsidR="00EC651E" w:rsidRPr="00EC651E" w:rsidRDefault="00EC651E"/>
    <w:p w:rsidR="00366F8B" w:rsidRPr="00EC651E" w:rsidRDefault="00366F8B"/>
    <w:p w:rsidR="00532543" w:rsidRPr="007A21F5" w:rsidRDefault="00366F8B" w:rsidP="007A21F5">
      <w:pPr>
        <w:pStyle w:val="Listenabsatz"/>
        <w:numPr>
          <w:ilvl w:val="0"/>
          <w:numId w:val="1"/>
        </w:numPr>
        <w:rPr>
          <w:lang w:val="en-US"/>
        </w:rPr>
      </w:pPr>
      <w:r w:rsidRPr="000E3BC8">
        <w:rPr>
          <w:b/>
          <w:lang w:val="en-US"/>
        </w:rPr>
        <w:t>Introduction</w:t>
      </w:r>
      <w:r w:rsidRPr="000E3BC8">
        <w:rPr>
          <w:b/>
          <w:lang w:val="en-US"/>
        </w:rPr>
        <w:br/>
      </w:r>
      <w:r w:rsidRPr="007A21F5">
        <w:rPr>
          <w:lang w:val="en-US"/>
        </w:rPr>
        <w:br/>
      </w:r>
      <w:r w:rsidR="00532543" w:rsidRPr="007A21F5">
        <w:rPr>
          <w:lang w:val="en-US"/>
        </w:rPr>
        <w:t xml:space="preserve">Sewer services are an important part of public services, which underlie the inter-generational contract. Comprehensive technical and legal norms govern  the tasks of planning, building and operating the mostly underground waste water infrastructure. </w:t>
      </w:r>
      <w:r w:rsidR="00532543" w:rsidRPr="007A21F5">
        <w:rPr>
          <w:lang w:val="en-US"/>
        </w:rPr>
        <w:br/>
      </w:r>
      <w:r w:rsidR="00532543" w:rsidRPr="007A21F5">
        <w:rPr>
          <w:lang w:val="en-US"/>
        </w:rPr>
        <w:br/>
        <w:t xml:space="preserve">In principle any installation for the collection and the transport of wastewater must not allow the </w:t>
      </w:r>
      <w:proofErr w:type="spellStart"/>
      <w:r w:rsidR="00532543" w:rsidRPr="007A21F5">
        <w:rPr>
          <w:lang w:val="en-US"/>
        </w:rPr>
        <w:t>exfiltration</w:t>
      </w:r>
      <w:proofErr w:type="spellEnd"/>
      <w:r w:rsidR="00532543" w:rsidRPr="007A21F5">
        <w:rPr>
          <w:lang w:val="en-US"/>
        </w:rPr>
        <w:t xml:space="preserve"> of sewage nor the infiltration of groundwater, i.e. they must be leak</w:t>
      </w:r>
      <w:r w:rsidR="00DA647C" w:rsidRPr="007A21F5">
        <w:rPr>
          <w:lang w:val="en-US"/>
        </w:rPr>
        <w:t>-</w:t>
      </w:r>
      <w:r w:rsidR="00532543" w:rsidRPr="007A21F5">
        <w:rPr>
          <w:lang w:val="en-US"/>
        </w:rPr>
        <w:t xml:space="preserve">proof. </w:t>
      </w:r>
      <w:proofErr w:type="spellStart"/>
      <w:r w:rsidR="00DA647C" w:rsidRPr="007A21F5">
        <w:rPr>
          <w:lang w:val="en-US"/>
        </w:rPr>
        <w:t>The</w:t>
      </w:r>
      <w:proofErr w:type="spellEnd"/>
      <w:r w:rsidR="00DA647C" w:rsidRPr="007A21F5">
        <w:rPr>
          <w:lang w:val="en-US"/>
        </w:rPr>
        <w:t xml:space="preserve"> also must be reliable to operate. The waste water must at any time be transported within the parameters of the original sizing. In addition these installations must always be maintained to a sound condition</w:t>
      </w:r>
      <w:r w:rsidR="00CD6A69" w:rsidRPr="007A21F5">
        <w:rPr>
          <w:lang w:val="en-US"/>
        </w:rPr>
        <w:t>, which excludes any endangerment of the public or a disruption of the above surface infrastructure or traffic.</w:t>
      </w:r>
      <w:r w:rsidR="00CD6A69" w:rsidRPr="007A21F5">
        <w:rPr>
          <w:lang w:val="en-US"/>
        </w:rPr>
        <w:br/>
      </w:r>
      <w:r w:rsidR="00CD6A69" w:rsidRPr="007A21F5">
        <w:rPr>
          <w:lang w:val="en-US"/>
        </w:rPr>
        <w:br/>
        <w:t xml:space="preserve">The realization of these requirements in the day to day praxis pose a significant challenges to the owners and operators of a sewer system, which are addressed with diverse strategies. Based on the examples of the cities of Essen and Bochum this paper will discuss the constraints of strategic action and the tools for </w:t>
      </w:r>
      <w:r w:rsidR="00852683" w:rsidRPr="007A21F5">
        <w:rPr>
          <w:lang w:val="en-US"/>
        </w:rPr>
        <w:t>the realization.</w:t>
      </w:r>
      <w:r w:rsidR="00852683" w:rsidRPr="007A21F5">
        <w:rPr>
          <w:lang w:val="en-US"/>
        </w:rPr>
        <w:br/>
      </w:r>
      <w:r w:rsidR="00852683" w:rsidRPr="007A21F5">
        <w:rPr>
          <w:lang w:val="en-US"/>
        </w:rPr>
        <w:br/>
        <w:t xml:space="preserve">Financing the operation of a sewer system and the associated and required construction measures are independent from the </w:t>
      </w:r>
      <w:r w:rsidR="007A3D9D" w:rsidRPr="007A21F5">
        <w:rPr>
          <w:lang w:val="en-US"/>
        </w:rPr>
        <w:t>organizational</w:t>
      </w:r>
      <w:r w:rsidR="00852683" w:rsidRPr="007A21F5">
        <w:rPr>
          <w:lang w:val="en-US"/>
        </w:rPr>
        <w:t xml:space="preserve"> form of the owning entity and results from the mandated users’ fees. The </w:t>
      </w:r>
      <w:r w:rsidR="007A3D9D" w:rsidRPr="007A21F5">
        <w:rPr>
          <w:lang w:val="en-US"/>
        </w:rPr>
        <w:t>guidelines</w:t>
      </w:r>
      <w:r w:rsidR="00852683" w:rsidRPr="007A21F5">
        <w:rPr>
          <w:lang w:val="en-US"/>
        </w:rPr>
        <w:t xml:space="preserve"> for the cost allocation are part of the State Law for Communal Fees and Charges (KAG) and are thus the same for all sewer system owners.</w:t>
      </w:r>
      <w:r w:rsidR="00852683" w:rsidRPr="007A21F5">
        <w:rPr>
          <w:lang w:val="en-US"/>
        </w:rPr>
        <w:br/>
      </w:r>
      <w:r w:rsidR="00852683" w:rsidRPr="007A21F5">
        <w:rPr>
          <w:lang w:val="en-US"/>
        </w:rPr>
        <w:br/>
        <w:t xml:space="preserve">The budget for rehabilitation (renewal, renovation, repair) of a sewer system </w:t>
      </w:r>
      <w:r w:rsidR="007A21F5" w:rsidRPr="007A21F5">
        <w:rPr>
          <w:lang w:val="en-US"/>
        </w:rPr>
        <w:t xml:space="preserve">is limited due to the financing ways. Decisions are made on the basis of economical considerations evaluating depreciation and repair cost. The directive for the evolution of fees is in general to keep them steady or allow a constant moderate increase. The budget available for rehabilitation is a function of the existing fees and an accepted </w:t>
      </w:r>
      <w:r w:rsidR="007A3D9D" w:rsidRPr="007A21F5">
        <w:rPr>
          <w:lang w:val="en-US"/>
        </w:rPr>
        <w:t>increase</w:t>
      </w:r>
      <w:r w:rsidR="007A21F5" w:rsidRPr="007A21F5">
        <w:rPr>
          <w:lang w:val="en-US"/>
        </w:rPr>
        <w:t>.</w:t>
      </w:r>
      <w:r w:rsidR="007A21F5" w:rsidRPr="007A21F5">
        <w:rPr>
          <w:lang w:val="en-US"/>
        </w:rPr>
        <w:br/>
      </w:r>
      <w:r w:rsidR="007A21F5" w:rsidRPr="007A21F5">
        <w:rPr>
          <w:lang w:val="en-US"/>
        </w:rPr>
        <w:br/>
      </w:r>
    </w:p>
    <w:p w:rsidR="007A21F5" w:rsidRDefault="007A21F5" w:rsidP="007A21F5">
      <w:pPr>
        <w:pStyle w:val="Listenabsatz"/>
        <w:numPr>
          <w:ilvl w:val="1"/>
          <w:numId w:val="1"/>
        </w:numPr>
        <w:rPr>
          <w:lang w:val="en-US"/>
        </w:rPr>
      </w:pPr>
      <w:r>
        <w:rPr>
          <w:lang w:val="en-US"/>
        </w:rPr>
        <w:t>Sewer System Essen</w:t>
      </w:r>
    </w:p>
    <w:p w:rsidR="007A21F5" w:rsidRDefault="007A21F5" w:rsidP="007A21F5">
      <w:pPr>
        <w:rPr>
          <w:lang w:val="en-US"/>
        </w:rPr>
      </w:pPr>
    </w:p>
    <w:p w:rsidR="007A21F5" w:rsidRPr="007A21F5" w:rsidRDefault="007A21F5" w:rsidP="007A21F5">
      <w:pPr>
        <w:pStyle w:val="Listenabsatz"/>
        <w:numPr>
          <w:ilvl w:val="2"/>
          <w:numId w:val="2"/>
        </w:numPr>
        <w:rPr>
          <w:lang w:val="en-US"/>
        </w:rPr>
      </w:pPr>
      <w:r w:rsidRPr="007A21F5">
        <w:rPr>
          <w:lang w:val="en-US"/>
        </w:rPr>
        <w:lastRenderedPageBreak/>
        <w:t>The Owner</w:t>
      </w:r>
    </w:p>
    <w:p w:rsidR="007A21F5" w:rsidRPr="007A21F5" w:rsidRDefault="007A21F5" w:rsidP="007A21F5">
      <w:pPr>
        <w:pStyle w:val="Listenabsatz"/>
        <w:ind w:left="1428"/>
        <w:rPr>
          <w:lang w:val="en-US"/>
        </w:rPr>
      </w:pPr>
    </w:p>
    <w:p w:rsidR="007A21F5" w:rsidRDefault="0059646E" w:rsidP="007A21F5">
      <w:pPr>
        <w:pStyle w:val="Listenabsatz"/>
        <w:ind w:left="1440"/>
        <w:rPr>
          <w:lang w:val="en-US"/>
        </w:rPr>
      </w:pPr>
      <w:r>
        <w:rPr>
          <w:lang w:val="en-US"/>
        </w:rPr>
        <w:t>On January 1</w:t>
      </w:r>
      <w:r w:rsidRPr="0059646E">
        <w:rPr>
          <w:vertAlign w:val="superscript"/>
          <w:lang w:val="en-US"/>
        </w:rPr>
        <w:t>st</w:t>
      </w:r>
      <w:r>
        <w:rPr>
          <w:lang w:val="en-US"/>
        </w:rPr>
        <w:t>, 1998 City Works Essen (</w:t>
      </w:r>
      <w:proofErr w:type="spellStart"/>
      <w:r>
        <w:rPr>
          <w:lang w:val="en-US"/>
        </w:rPr>
        <w:t>Stadtwerke</w:t>
      </w:r>
      <w:proofErr w:type="spellEnd"/>
      <w:r>
        <w:rPr>
          <w:lang w:val="en-US"/>
        </w:rPr>
        <w:t xml:space="preserve"> Essen AG – SEG) took over the responsibility for planning, constructing and operating the sewer system, which had been owned by the City until this time. </w:t>
      </w:r>
      <w:r w:rsidR="007A3D9D">
        <w:rPr>
          <w:lang w:val="en-US"/>
        </w:rPr>
        <w:t>Simultaneously</w:t>
      </w:r>
      <w:r>
        <w:rPr>
          <w:lang w:val="en-US"/>
        </w:rPr>
        <w:t xml:space="preserve"> the grid itself was sold to Discharge Essen GmbH (</w:t>
      </w:r>
      <w:proofErr w:type="spellStart"/>
      <w:r>
        <w:rPr>
          <w:lang w:val="en-US"/>
        </w:rPr>
        <w:t>Entwässerung</w:t>
      </w:r>
      <w:proofErr w:type="spellEnd"/>
      <w:r>
        <w:rPr>
          <w:lang w:val="en-US"/>
        </w:rPr>
        <w:t xml:space="preserve"> Essen GmbH – EEG), a 100% daughter company of City Works AG. The actual responsibility </w:t>
      </w:r>
      <w:r w:rsidR="007A3D9D">
        <w:rPr>
          <w:lang w:val="en-US"/>
        </w:rPr>
        <w:t>for the</w:t>
      </w:r>
      <w:r>
        <w:rPr>
          <w:lang w:val="en-US"/>
        </w:rPr>
        <w:t xml:space="preserve"> proper discharge of waste water lies still with the City of Essen, as mandated by the Water Law of the State of North-Rhine-Westphalia.</w:t>
      </w:r>
      <w:r>
        <w:rPr>
          <w:lang w:val="en-US"/>
        </w:rPr>
        <w:br/>
      </w:r>
      <w:r>
        <w:rPr>
          <w:lang w:val="en-US"/>
        </w:rPr>
        <w:br/>
        <w:t xml:space="preserve">Planning, construction and operation of sewage treatment plants is performed by </w:t>
      </w:r>
      <w:proofErr w:type="spellStart"/>
      <w:r>
        <w:rPr>
          <w:lang w:val="en-US"/>
        </w:rPr>
        <w:t>Ruhrverband</w:t>
      </w:r>
      <w:proofErr w:type="spellEnd"/>
      <w:r>
        <w:rPr>
          <w:lang w:val="en-US"/>
        </w:rPr>
        <w:t xml:space="preserve"> and </w:t>
      </w:r>
      <w:proofErr w:type="spellStart"/>
      <w:r>
        <w:rPr>
          <w:lang w:val="en-US"/>
        </w:rPr>
        <w:t>Emschergenossenschaft</w:t>
      </w:r>
      <w:proofErr w:type="spellEnd"/>
      <w:r>
        <w:rPr>
          <w:lang w:val="en-US"/>
        </w:rPr>
        <w:t>,</w:t>
      </w:r>
      <w:r w:rsidR="007B1FB9">
        <w:rPr>
          <w:lang w:val="en-US"/>
        </w:rPr>
        <w:t xml:space="preserve"> two</w:t>
      </w:r>
      <w:r>
        <w:rPr>
          <w:lang w:val="en-US"/>
        </w:rPr>
        <w:t xml:space="preserve"> </w:t>
      </w:r>
      <w:r w:rsidR="007B1FB9">
        <w:rPr>
          <w:lang w:val="en-US"/>
        </w:rPr>
        <w:t xml:space="preserve">regional </w:t>
      </w:r>
      <w:r>
        <w:rPr>
          <w:lang w:val="en-US"/>
        </w:rPr>
        <w:t>waste water associations</w:t>
      </w:r>
      <w:r w:rsidR="007B1FB9">
        <w:rPr>
          <w:lang w:val="en-US"/>
        </w:rPr>
        <w:t>.</w:t>
      </w:r>
    </w:p>
    <w:p w:rsidR="007B1FB9" w:rsidRDefault="007B1FB9" w:rsidP="007A21F5">
      <w:pPr>
        <w:pStyle w:val="Listenabsatz"/>
        <w:ind w:left="1440"/>
        <w:rPr>
          <w:lang w:val="en-US"/>
        </w:rPr>
      </w:pPr>
    </w:p>
    <w:p w:rsidR="007B1FB9" w:rsidRDefault="007B1FB9" w:rsidP="007A21F5">
      <w:pPr>
        <w:pStyle w:val="Listenabsatz"/>
        <w:ind w:left="1440"/>
        <w:rPr>
          <w:lang w:val="en-US"/>
        </w:rPr>
      </w:pPr>
      <w:r>
        <w:rPr>
          <w:lang w:val="en-US"/>
        </w:rPr>
        <w:t xml:space="preserve">The Essen City Works also supplies the area with natural gas and drinking water and additionally operates a center for logistics in Essen harbor. </w:t>
      </w:r>
    </w:p>
    <w:p w:rsidR="007B1FB9" w:rsidRDefault="007B1FB9" w:rsidP="007A21F5">
      <w:pPr>
        <w:pStyle w:val="Listenabsatz"/>
        <w:ind w:left="1440"/>
        <w:rPr>
          <w:lang w:val="en-US"/>
        </w:rPr>
      </w:pPr>
    </w:p>
    <w:p w:rsidR="007B1FB9" w:rsidRDefault="007B1FB9" w:rsidP="007A21F5">
      <w:pPr>
        <w:pStyle w:val="Listenabsatz"/>
        <w:ind w:left="1440"/>
        <w:rPr>
          <w:lang w:val="en-US"/>
        </w:rPr>
      </w:pPr>
    </w:p>
    <w:p w:rsidR="007B1FB9" w:rsidRDefault="007B1FB9" w:rsidP="007B1FB9">
      <w:pPr>
        <w:pStyle w:val="Listenabsatz"/>
        <w:numPr>
          <w:ilvl w:val="2"/>
          <w:numId w:val="2"/>
        </w:numPr>
        <w:rPr>
          <w:b/>
          <w:lang w:val="en-US"/>
        </w:rPr>
      </w:pPr>
      <w:r>
        <w:rPr>
          <w:b/>
          <w:lang w:val="en-US"/>
        </w:rPr>
        <w:t>Key Data</w:t>
      </w:r>
    </w:p>
    <w:p w:rsidR="007B1FB9" w:rsidRDefault="007B1FB9" w:rsidP="007B1FB9">
      <w:pPr>
        <w:pStyle w:val="Listenabsatz"/>
        <w:ind w:left="1428"/>
        <w:rPr>
          <w:b/>
          <w:lang w:val="en-US"/>
        </w:rPr>
      </w:pPr>
    </w:p>
    <w:p w:rsidR="007B666A" w:rsidRDefault="007B666A" w:rsidP="007B1FB9">
      <w:pPr>
        <w:pStyle w:val="Listenabsatz"/>
        <w:ind w:left="1428"/>
        <w:rPr>
          <w:lang w:val="en-US"/>
        </w:rPr>
      </w:pPr>
      <w:r>
        <w:rPr>
          <w:lang w:val="en-US"/>
        </w:rPr>
        <w:t xml:space="preserve">The sewer grid owned by EEG has a total length of 1,60 km (1,000 miles) and is mainly operated as a combined rainwater/sewer system with gravity flow. There are only marginally few pressured systems. 54,000 sections average approximately 31 m (100 </w:t>
      </w:r>
      <w:r w:rsidR="007A3D9D">
        <w:rPr>
          <w:lang w:val="en-US"/>
        </w:rPr>
        <w:t>ft.</w:t>
      </w:r>
      <w:r>
        <w:rPr>
          <w:lang w:val="en-US"/>
        </w:rPr>
        <w:t>) in length.</w:t>
      </w:r>
    </w:p>
    <w:p w:rsidR="007B666A" w:rsidRDefault="007B666A" w:rsidP="007B1FB9">
      <w:pPr>
        <w:pStyle w:val="Listenabsatz"/>
        <w:ind w:left="1428"/>
        <w:rPr>
          <w:lang w:val="en-US"/>
        </w:rPr>
      </w:pPr>
    </w:p>
    <w:p w:rsidR="007B666A" w:rsidRDefault="007B666A" w:rsidP="007B1FB9">
      <w:pPr>
        <w:pStyle w:val="Listenabsatz"/>
        <w:ind w:left="1428"/>
        <w:rPr>
          <w:lang w:val="en-US"/>
        </w:rPr>
      </w:pPr>
    </w:p>
    <w:p w:rsidR="007B666A" w:rsidRDefault="007B666A" w:rsidP="007B1FB9">
      <w:pPr>
        <w:pStyle w:val="Listenabsatz"/>
        <w:ind w:left="1428"/>
        <w:rPr>
          <w:lang w:val="en-US"/>
        </w:rPr>
      </w:pPr>
      <w:r>
        <w:rPr>
          <w:lang w:val="en-US"/>
        </w:rPr>
        <w:t>Distribution of systems</w:t>
      </w:r>
    </w:p>
    <w:p w:rsidR="007B666A" w:rsidRDefault="007B666A" w:rsidP="007B1FB9">
      <w:pPr>
        <w:pStyle w:val="Listenabsatz"/>
        <w:ind w:left="1428"/>
        <w:rPr>
          <w:lang w:val="en-US"/>
        </w:rPr>
      </w:pPr>
    </w:p>
    <w:p w:rsidR="007B666A" w:rsidRDefault="007B666A" w:rsidP="007B1FB9">
      <w:pPr>
        <w:pStyle w:val="Listenabsatz"/>
        <w:ind w:left="1428"/>
        <w:rPr>
          <w:lang w:val="en-US"/>
        </w:rPr>
      </w:pPr>
      <w:r>
        <w:rPr>
          <w:lang w:val="en-US"/>
        </w:rPr>
        <w:t>Rainwater 5%</w:t>
      </w:r>
    </w:p>
    <w:p w:rsidR="009014F9" w:rsidRDefault="007B666A" w:rsidP="007B1FB9">
      <w:pPr>
        <w:pStyle w:val="Listenabsatz"/>
        <w:ind w:left="1428"/>
        <w:rPr>
          <w:lang w:val="en-US"/>
        </w:rPr>
      </w:pPr>
      <w:r>
        <w:rPr>
          <w:lang w:val="en-US"/>
        </w:rPr>
        <w:t>Sewage 7%</w:t>
      </w:r>
    </w:p>
    <w:p w:rsidR="007B1FB9" w:rsidRDefault="009014F9" w:rsidP="007B1FB9">
      <w:pPr>
        <w:pStyle w:val="Listenabsatz"/>
        <w:ind w:left="1428"/>
        <w:rPr>
          <w:lang w:val="en-US"/>
        </w:rPr>
      </w:pPr>
      <w:r>
        <w:rPr>
          <w:lang w:val="en-US"/>
        </w:rPr>
        <w:t xml:space="preserve">Combined </w:t>
      </w:r>
      <w:r w:rsidR="00BC72E2">
        <w:rPr>
          <w:lang w:val="en-US"/>
        </w:rPr>
        <w:t>Systems 88%</w:t>
      </w:r>
    </w:p>
    <w:p w:rsidR="009E6577" w:rsidRDefault="009E6577" w:rsidP="007B1FB9">
      <w:pPr>
        <w:pStyle w:val="Listenabsatz"/>
        <w:ind w:left="1428"/>
        <w:rPr>
          <w:lang w:val="en-US"/>
        </w:rPr>
      </w:pPr>
    </w:p>
    <w:p w:rsidR="009E6577" w:rsidRDefault="009E6577" w:rsidP="007B1FB9">
      <w:pPr>
        <w:pStyle w:val="Listenabsatz"/>
        <w:ind w:left="1428"/>
        <w:rPr>
          <w:lang w:val="en-US"/>
        </w:rPr>
      </w:pPr>
      <w:r>
        <w:rPr>
          <w:noProof/>
        </w:rPr>
        <w:drawing>
          <wp:inline distT="0" distB="0" distL="0" distR="0">
            <wp:extent cx="3667760" cy="2275840"/>
            <wp:effectExtent l="0" t="0" r="0" b="0"/>
            <wp:docPr id="1"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C72E2" w:rsidRDefault="00BC72E2" w:rsidP="007B1FB9">
      <w:pPr>
        <w:pStyle w:val="Listenabsatz"/>
        <w:ind w:left="1428"/>
        <w:rPr>
          <w:lang w:val="en-US"/>
        </w:rPr>
      </w:pPr>
    </w:p>
    <w:p w:rsidR="00BC72E2" w:rsidRDefault="00BC72E2" w:rsidP="007B1FB9">
      <w:pPr>
        <w:pStyle w:val="Listenabsatz"/>
        <w:ind w:left="1428"/>
        <w:rPr>
          <w:b/>
          <w:lang w:val="en-US"/>
        </w:rPr>
      </w:pPr>
      <w:r>
        <w:rPr>
          <w:b/>
          <w:lang w:val="en-US"/>
        </w:rPr>
        <w:t>Illustration 1: Essen Sewer Grid Distribution of systems</w:t>
      </w:r>
    </w:p>
    <w:p w:rsidR="00BC72E2" w:rsidRDefault="00BC72E2" w:rsidP="00BC72E2">
      <w:pPr>
        <w:rPr>
          <w:b/>
          <w:lang w:val="en-US"/>
        </w:rPr>
      </w:pPr>
    </w:p>
    <w:p w:rsidR="00BC72E2" w:rsidRDefault="00BC72E2" w:rsidP="00BC72E2">
      <w:pPr>
        <w:rPr>
          <w:b/>
          <w:lang w:val="en-US"/>
        </w:rPr>
      </w:pPr>
    </w:p>
    <w:p w:rsidR="00BC72E2" w:rsidRDefault="00BC72E2" w:rsidP="00BC72E2">
      <w:pPr>
        <w:rPr>
          <w:lang w:val="en-US"/>
        </w:rPr>
      </w:pPr>
      <w:r>
        <w:rPr>
          <w:lang w:val="en-US"/>
        </w:rPr>
        <w:lastRenderedPageBreak/>
        <w:t xml:space="preserve">The sewer grid originated from partial grids, which had been individually planned for the separate parts of town, which were later merged into the municipality of Essen. Other significant elements for the development of the grid were mining and industry. </w:t>
      </w:r>
    </w:p>
    <w:p w:rsidR="00BC72E2" w:rsidRDefault="00BC72E2" w:rsidP="00BC72E2">
      <w:pPr>
        <w:rPr>
          <w:lang w:val="en-US"/>
        </w:rPr>
      </w:pPr>
      <w:r>
        <w:rPr>
          <w:lang w:val="en-US"/>
        </w:rPr>
        <w:t>The different phases of this development can be identified in the depiction of the age structure of the grid.</w:t>
      </w:r>
    </w:p>
    <w:p w:rsidR="00BC72E2" w:rsidRDefault="00BC72E2" w:rsidP="00BC72E2">
      <w:pPr>
        <w:rPr>
          <w:lang w:val="en-US"/>
        </w:rPr>
      </w:pPr>
    </w:p>
    <w:p w:rsidR="00BC72E2" w:rsidRDefault="009E6577" w:rsidP="00BC72E2">
      <w:pPr>
        <w:rPr>
          <w:lang w:val="en-US"/>
        </w:rPr>
      </w:pPr>
      <w:r>
        <w:rPr>
          <w:noProof/>
        </w:rPr>
        <w:drawing>
          <wp:inline distT="0" distB="0" distL="0" distR="0">
            <wp:extent cx="3698240" cy="2296160"/>
            <wp:effectExtent l="0" t="0" r="0" b="0"/>
            <wp:docPr id="4" name="Obj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C72E2" w:rsidRDefault="00BC72E2" w:rsidP="00BC72E2">
      <w:pPr>
        <w:rPr>
          <w:b/>
          <w:lang w:val="en-US"/>
        </w:rPr>
      </w:pPr>
      <w:r>
        <w:rPr>
          <w:lang w:val="en-US"/>
        </w:rPr>
        <w:tab/>
      </w:r>
      <w:r>
        <w:rPr>
          <w:lang w:val="en-US"/>
        </w:rPr>
        <w:tab/>
      </w:r>
      <w:r>
        <w:rPr>
          <w:b/>
          <w:lang w:val="en-US"/>
        </w:rPr>
        <w:t>Illustration 2: Age distribution in the Essen sewer grid (1)</w:t>
      </w:r>
    </w:p>
    <w:p w:rsidR="00BC72E2" w:rsidRDefault="00BC72E2" w:rsidP="00BC72E2">
      <w:pPr>
        <w:rPr>
          <w:b/>
          <w:lang w:val="en-US"/>
        </w:rPr>
      </w:pPr>
    </w:p>
    <w:p w:rsidR="00BC72E2" w:rsidRDefault="00BC72E2" w:rsidP="00BC72E2">
      <w:pPr>
        <w:rPr>
          <w:lang w:val="en-US"/>
        </w:rPr>
      </w:pPr>
      <w:r>
        <w:rPr>
          <w:lang w:val="en-US"/>
        </w:rPr>
        <w:t>The materials used are typical for the time phase in which the grid was constructed. It consists up to 90 % of fire clay and concrete.</w:t>
      </w:r>
    </w:p>
    <w:p w:rsidR="00BC72E2" w:rsidRDefault="00BC72E2" w:rsidP="00BC72E2">
      <w:pPr>
        <w:rPr>
          <w:lang w:val="en-US"/>
        </w:rPr>
      </w:pPr>
    </w:p>
    <w:p w:rsidR="00BC72E2" w:rsidRDefault="00BC72E2" w:rsidP="00BC72E2">
      <w:pPr>
        <w:rPr>
          <w:lang w:val="en-US"/>
        </w:rPr>
      </w:pPr>
      <w:r>
        <w:rPr>
          <w:lang w:val="en-US"/>
        </w:rPr>
        <w:tab/>
      </w:r>
      <w:r>
        <w:rPr>
          <w:lang w:val="en-US"/>
        </w:rPr>
        <w:tab/>
      </w:r>
      <w:r>
        <w:rPr>
          <w:lang w:val="en-US"/>
        </w:rPr>
        <w:tab/>
      </w:r>
      <w:r>
        <w:rPr>
          <w:lang w:val="en-US"/>
        </w:rPr>
        <w:tab/>
        <w:t>Material distribution</w:t>
      </w:r>
    </w:p>
    <w:p w:rsidR="00BC72E2" w:rsidRDefault="00BC72E2" w:rsidP="00BC72E2">
      <w:pPr>
        <w:rPr>
          <w:lang w:val="en-US"/>
        </w:rPr>
      </w:pPr>
    </w:p>
    <w:p w:rsidR="00BC72E2" w:rsidRDefault="009E6577" w:rsidP="00BC72E2">
      <w:pPr>
        <w:rPr>
          <w:lang w:val="en-US"/>
        </w:rPr>
      </w:pPr>
      <w:r>
        <w:rPr>
          <w:noProof/>
        </w:rPr>
        <w:drawing>
          <wp:inline distT="0" distB="0" distL="0" distR="0">
            <wp:extent cx="3698240" cy="2296160"/>
            <wp:effectExtent l="0" t="0" r="0" b="0"/>
            <wp:docPr id="7"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72E2" w:rsidRPr="001E1875" w:rsidRDefault="00BC72E2" w:rsidP="00BC72E2">
      <w:r w:rsidRPr="001E1875">
        <w:t>Steinzeug</w:t>
      </w:r>
      <w:r w:rsidRPr="001E1875">
        <w:tab/>
        <w:t>=</w:t>
      </w:r>
      <w:r w:rsidRPr="001E1875">
        <w:tab/>
      </w:r>
      <w:proofErr w:type="spellStart"/>
      <w:r w:rsidRPr="001E1875">
        <w:t>fire</w:t>
      </w:r>
      <w:proofErr w:type="spellEnd"/>
      <w:r w:rsidRPr="001E1875">
        <w:t xml:space="preserve"> </w:t>
      </w:r>
      <w:proofErr w:type="spellStart"/>
      <w:r w:rsidRPr="001E1875">
        <w:t>clay</w:t>
      </w:r>
      <w:proofErr w:type="spellEnd"/>
    </w:p>
    <w:p w:rsidR="00BC72E2" w:rsidRPr="001E1875" w:rsidRDefault="00BC72E2" w:rsidP="00BC72E2">
      <w:r w:rsidRPr="001E1875">
        <w:t>GFK</w:t>
      </w:r>
      <w:r w:rsidRPr="001E1875">
        <w:tab/>
      </w:r>
      <w:r w:rsidRPr="001E1875">
        <w:tab/>
        <w:t>=</w:t>
      </w:r>
      <w:r w:rsidRPr="001E1875">
        <w:tab/>
      </w:r>
      <w:proofErr w:type="spellStart"/>
      <w:r w:rsidRPr="001E1875">
        <w:t>grp</w:t>
      </w:r>
      <w:proofErr w:type="spellEnd"/>
    </w:p>
    <w:p w:rsidR="00BC72E2" w:rsidRPr="00EC651E" w:rsidRDefault="00BC72E2" w:rsidP="00BC72E2">
      <w:r w:rsidRPr="00EC651E">
        <w:t>Kunststoff</w:t>
      </w:r>
      <w:r w:rsidRPr="00EC651E">
        <w:tab/>
        <w:t>=</w:t>
      </w:r>
      <w:r w:rsidRPr="00EC651E">
        <w:tab/>
      </w:r>
      <w:proofErr w:type="spellStart"/>
      <w:r w:rsidRPr="00EC651E">
        <w:t>plastic</w:t>
      </w:r>
      <w:proofErr w:type="spellEnd"/>
    </w:p>
    <w:p w:rsidR="00BC72E2" w:rsidRPr="00EC651E" w:rsidRDefault="00BC72E2" w:rsidP="00BC72E2">
      <w:r w:rsidRPr="00EC651E">
        <w:t>Mauerwerk</w:t>
      </w:r>
      <w:r w:rsidRPr="00EC651E">
        <w:tab/>
        <w:t>=</w:t>
      </w:r>
      <w:r w:rsidRPr="00EC651E">
        <w:tab/>
      </w:r>
      <w:proofErr w:type="spellStart"/>
      <w:r w:rsidRPr="00EC651E">
        <w:t>brick</w:t>
      </w:r>
      <w:proofErr w:type="spellEnd"/>
    </w:p>
    <w:p w:rsidR="00BC72E2" w:rsidRPr="00EC651E" w:rsidRDefault="00BC72E2" w:rsidP="00BC72E2">
      <w:r w:rsidRPr="00EC651E">
        <w:t>PEHD</w:t>
      </w:r>
      <w:r w:rsidRPr="00EC651E">
        <w:tab/>
      </w:r>
      <w:r w:rsidRPr="00EC651E">
        <w:tab/>
        <w:t>=</w:t>
      </w:r>
      <w:r w:rsidRPr="00EC651E">
        <w:tab/>
        <w:t>PEHD</w:t>
      </w:r>
    </w:p>
    <w:p w:rsidR="00BC72E2" w:rsidRPr="001E1875" w:rsidRDefault="00BC72E2" w:rsidP="00BC72E2">
      <w:r w:rsidRPr="001E1875">
        <w:t>Sonstige</w:t>
      </w:r>
      <w:r w:rsidRPr="001E1875">
        <w:tab/>
        <w:t>=</w:t>
      </w:r>
      <w:r w:rsidRPr="001E1875">
        <w:tab/>
      </w:r>
      <w:proofErr w:type="spellStart"/>
      <w:r w:rsidRPr="001E1875">
        <w:t>other</w:t>
      </w:r>
      <w:proofErr w:type="spellEnd"/>
      <w:r w:rsidRPr="001E1875">
        <w:tab/>
      </w:r>
    </w:p>
    <w:p w:rsidR="00BC72E2" w:rsidRDefault="00BC72E2" w:rsidP="00BC72E2">
      <w:pPr>
        <w:rPr>
          <w:lang w:val="en-US"/>
        </w:rPr>
      </w:pPr>
      <w:proofErr w:type="spellStart"/>
      <w:r>
        <w:rPr>
          <w:lang w:val="en-US"/>
        </w:rPr>
        <w:t>unbekannt</w:t>
      </w:r>
      <w:proofErr w:type="spellEnd"/>
      <w:r>
        <w:rPr>
          <w:lang w:val="en-US"/>
        </w:rPr>
        <w:tab/>
        <w:t>=</w:t>
      </w:r>
      <w:r>
        <w:rPr>
          <w:lang w:val="en-US"/>
        </w:rPr>
        <w:tab/>
        <w:t>unknown</w:t>
      </w:r>
    </w:p>
    <w:p w:rsidR="00BC72E2" w:rsidRDefault="00BC72E2" w:rsidP="00BC72E2">
      <w:pPr>
        <w:rPr>
          <w:lang w:val="en-US"/>
        </w:rPr>
      </w:pPr>
      <w:proofErr w:type="spellStart"/>
      <w:r>
        <w:rPr>
          <w:lang w:val="en-US"/>
        </w:rPr>
        <w:t>Beton</w:t>
      </w:r>
      <w:proofErr w:type="spellEnd"/>
      <w:r>
        <w:rPr>
          <w:lang w:val="en-US"/>
        </w:rPr>
        <w:tab/>
      </w:r>
      <w:r>
        <w:rPr>
          <w:lang w:val="en-US"/>
        </w:rPr>
        <w:tab/>
        <w:t>=</w:t>
      </w:r>
      <w:r>
        <w:rPr>
          <w:lang w:val="en-US"/>
        </w:rPr>
        <w:tab/>
        <w:t>concrete</w:t>
      </w:r>
    </w:p>
    <w:p w:rsidR="00BC72E2" w:rsidRDefault="00BC72E2" w:rsidP="00BC72E2">
      <w:pPr>
        <w:rPr>
          <w:lang w:val="en-US"/>
        </w:rPr>
      </w:pPr>
    </w:p>
    <w:p w:rsidR="00BC72E2" w:rsidRDefault="00BC72E2" w:rsidP="00BC72E2">
      <w:pPr>
        <w:rPr>
          <w:b/>
          <w:lang w:val="en-US"/>
        </w:rPr>
      </w:pPr>
      <w:r>
        <w:rPr>
          <w:b/>
          <w:lang w:val="en-US"/>
        </w:rPr>
        <w:tab/>
      </w:r>
      <w:r>
        <w:rPr>
          <w:b/>
          <w:lang w:val="en-US"/>
        </w:rPr>
        <w:tab/>
        <w:t>Illustration 3:</w:t>
      </w:r>
      <w:r>
        <w:rPr>
          <w:b/>
          <w:lang w:val="en-US"/>
        </w:rPr>
        <w:tab/>
        <w:t>Material distribution in the Essen sewer grid (1)</w:t>
      </w:r>
    </w:p>
    <w:p w:rsidR="00BC72E2" w:rsidRDefault="00BC72E2" w:rsidP="00BC72E2">
      <w:pPr>
        <w:rPr>
          <w:b/>
          <w:lang w:val="en-US"/>
        </w:rPr>
      </w:pPr>
    </w:p>
    <w:p w:rsidR="00BC72E2" w:rsidRDefault="00BC72E2" w:rsidP="00BC72E2">
      <w:pPr>
        <w:rPr>
          <w:lang w:val="en-US"/>
        </w:rPr>
      </w:pPr>
    </w:p>
    <w:p w:rsidR="00BC72E2" w:rsidRDefault="00BC72E2" w:rsidP="00BC72E2">
      <w:pPr>
        <w:rPr>
          <w:lang w:val="en-US"/>
        </w:rPr>
      </w:pPr>
    </w:p>
    <w:p w:rsidR="00BC72E2" w:rsidRPr="00BC72E2" w:rsidRDefault="00BC72E2" w:rsidP="00BC72E2">
      <w:pPr>
        <w:pStyle w:val="Listenabsatz"/>
        <w:numPr>
          <w:ilvl w:val="1"/>
          <w:numId w:val="3"/>
        </w:numPr>
        <w:rPr>
          <w:i/>
          <w:lang w:val="en-US"/>
        </w:rPr>
      </w:pPr>
      <w:r w:rsidRPr="00BC72E2">
        <w:rPr>
          <w:i/>
          <w:lang w:val="en-US"/>
        </w:rPr>
        <w:t>Bochum Sewer Grid</w:t>
      </w:r>
    </w:p>
    <w:p w:rsidR="00BC72E2" w:rsidRDefault="00BC72E2" w:rsidP="00BC72E2">
      <w:pPr>
        <w:rPr>
          <w:i/>
          <w:lang w:val="en-US"/>
        </w:rPr>
      </w:pPr>
    </w:p>
    <w:p w:rsidR="00BC72E2" w:rsidRDefault="00BC72E2" w:rsidP="00BC72E2">
      <w:pPr>
        <w:rPr>
          <w:b/>
          <w:lang w:val="en-US"/>
        </w:rPr>
      </w:pPr>
      <w:r>
        <w:rPr>
          <w:b/>
          <w:lang w:val="en-US"/>
        </w:rPr>
        <w:t>1.1.3</w:t>
      </w:r>
      <w:r>
        <w:rPr>
          <w:b/>
          <w:lang w:val="en-US"/>
        </w:rPr>
        <w:tab/>
        <w:t>The owner</w:t>
      </w:r>
    </w:p>
    <w:p w:rsidR="00BC72E2" w:rsidRDefault="00BC72E2" w:rsidP="00BC72E2">
      <w:pPr>
        <w:rPr>
          <w:b/>
          <w:lang w:val="en-US"/>
        </w:rPr>
      </w:pPr>
    </w:p>
    <w:p w:rsidR="00BC72E2" w:rsidRDefault="00BC72E2" w:rsidP="00BC72E2">
      <w:pPr>
        <w:rPr>
          <w:lang w:val="en-US"/>
        </w:rPr>
      </w:pPr>
      <w:r>
        <w:rPr>
          <w:lang w:val="en-US"/>
        </w:rPr>
        <w:t>The grid is operated by the department of Civil Engineering of the City of Bochum, which also owns the grid.</w:t>
      </w:r>
    </w:p>
    <w:p w:rsidR="00BC72E2" w:rsidRDefault="00BC72E2" w:rsidP="00BC72E2">
      <w:pPr>
        <w:rPr>
          <w:lang w:val="en-US"/>
        </w:rPr>
      </w:pPr>
    </w:p>
    <w:p w:rsidR="00BC72E2" w:rsidRDefault="00BC72E2" w:rsidP="00BC72E2">
      <w:pPr>
        <w:rPr>
          <w:lang w:val="en-US"/>
        </w:rPr>
      </w:pPr>
      <w:r>
        <w:rPr>
          <w:lang w:val="en-US"/>
        </w:rPr>
        <w:t>Planning, construction and operation of the sewage treatment facilities</w:t>
      </w:r>
      <w:r w:rsidR="00331428">
        <w:rPr>
          <w:lang w:val="en-US"/>
        </w:rPr>
        <w:t xml:space="preserve"> is done by </w:t>
      </w:r>
      <w:proofErr w:type="spellStart"/>
      <w:r w:rsidR="00331428">
        <w:rPr>
          <w:lang w:val="en-US"/>
        </w:rPr>
        <w:t>Ruhrverband</w:t>
      </w:r>
      <w:proofErr w:type="spellEnd"/>
      <w:r w:rsidR="00331428">
        <w:rPr>
          <w:lang w:val="en-US"/>
        </w:rPr>
        <w:t xml:space="preserve"> and </w:t>
      </w:r>
      <w:proofErr w:type="spellStart"/>
      <w:r w:rsidR="00331428">
        <w:rPr>
          <w:lang w:val="en-US"/>
        </w:rPr>
        <w:t>Emscher-Genossenschaft</w:t>
      </w:r>
      <w:proofErr w:type="spellEnd"/>
      <w:r w:rsidR="00331428">
        <w:rPr>
          <w:lang w:val="en-US"/>
        </w:rPr>
        <w:t xml:space="preserve">. In a few and exceptional cases the city does this work and then hands the </w:t>
      </w:r>
      <w:r w:rsidR="007A3D9D">
        <w:rPr>
          <w:lang w:val="en-US"/>
        </w:rPr>
        <w:t>facility</w:t>
      </w:r>
      <w:r w:rsidR="00331428">
        <w:rPr>
          <w:lang w:val="en-US"/>
        </w:rPr>
        <w:t xml:space="preserve"> over to the respective organization. To a large extent the city has taken on the responsibility for the maintenance and supervision of these plants from the </w:t>
      </w:r>
      <w:r w:rsidR="007A3D9D">
        <w:rPr>
          <w:lang w:val="en-US"/>
        </w:rPr>
        <w:t>organizations</w:t>
      </w:r>
      <w:r w:rsidR="00331428">
        <w:rPr>
          <w:lang w:val="en-US"/>
        </w:rPr>
        <w:t xml:space="preserve">. </w:t>
      </w:r>
    </w:p>
    <w:p w:rsidR="00331428" w:rsidRDefault="00331428" w:rsidP="00BC72E2">
      <w:pPr>
        <w:rPr>
          <w:lang w:val="en-US"/>
        </w:rPr>
      </w:pPr>
    </w:p>
    <w:p w:rsidR="00331428" w:rsidRDefault="00331428" w:rsidP="00BC72E2">
      <w:pPr>
        <w:rPr>
          <w:lang w:val="en-US"/>
        </w:rPr>
      </w:pPr>
    </w:p>
    <w:p w:rsidR="00331428" w:rsidRDefault="00331428" w:rsidP="00BC72E2">
      <w:pPr>
        <w:rPr>
          <w:b/>
          <w:lang w:val="en-US"/>
        </w:rPr>
      </w:pPr>
      <w:r>
        <w:rPr>
          <w:b/>
          <w:lang w:val="en-US"/>
        </w:rPr>
        <w:t>1.1.4 Key data</w:t>
      </w:r>
    </w:p>
    <w:p w:rsidR="00331428" w:rsidRDefault="00331428" w:rsidP="00BC72E2">
      <w:pPr>
        <w:rPr>
          <w:b/>
          <w:lang w:val="en-US"/>
        </w:rPr>
      </w:pPr>
    </w:p>
    <w:p w:rsidR="00331428" w:rsidRDefault="00331428" w:rsidP="00BC72E2">
      <w:pPr>
        <w:rPr>
          <w:lang w:val="en-US"/>
        </w:rPr>
      </w:pPr>
      <w:r>
        <w:rPr>
          <w:lang w:val="en-US"/>
        </w:rPr>
        <w:t>The grid extend</w:t>
      </w:r>
      <w:r w:rsidRPr="00331428">
        <w:rPr>
          <w:lang w:val="en-US"/>
        </w:rPr>
        <w:t>s over 1238 km</w:t>
      </w:r>
      <w:r>
        <w:rPr>
          <w:lang w:val="en-US"/>
        </w:rPr>
        <w:t xml:space="preserve"> (750 miles)</w:t>
      </w:r>
      <w:r w:rsidRPr="00331428">
        <w:rPr>
          <w:lang w:val="en-US"/>
        </w:rPr>
        <w:t xml:space="preserve"> </w:t>
      </w:r>
      <w:r>
        <w:rPr>
          <w:lang w:val="en-US"/>
        </w:rPr>
        <w:t>of pipe. It has 135 special structures (pumping stations, overflow facilities, rain retention basins. There are an additional 50 km (30 miles) of public waters into which content from the grid can be discharged.</w:t>
      </w:r>
    </w:p>
    <w:p w:rsidR="00331428" w:rsidRDefault="00331428" w:rsidP="00BC72E2">
      <w:pPr>
        <w:rPr>
          <w:lang w:val="en-US"/>
        </w:rPr>
      </w:pPr>
    </w:p>
    <w:p w:rsidR="00331428" w:rsidRDefault="00331428" w:rsidP="00BC72E2">
      <w:pPr>
        <w:rPr>
          <w:lang w:val="en-US"/>
        </w:rPr>
      </w:pPr>
    </w:p>
    <w:p w:rsidR="00331428" w:rsidRPr="00EC651E" w:rsidRDefault="009E6577" w:rsidP="00BC72E2">
      <w:r>
        <w:rPr>
          <w:noProof/>
        </w:rPr>
        <w:drawing>
          <wp:inline distT="0" distB="0" distL="0" distR="0">
            <wp:extent cx="2885440" cy="194056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85440" cy="1940560"/>
                    </a:xfrm>
                    <a:prstGeom prst="rect">
                      <a:avLst/>
                    </a:prstGeom>
                    <a:noFill/>
                    <a:ln w="9525">
                      <a:noFill/>
                      <a:miter lim="800000"/>
                      <a:headEnd/>
                      <a:tailEnd/>
                    </a:ln>
                  </pic:spPr>
                </pic:pic>
              </a:graphicData>
            </a:graphic>
          </wp:inline>
        </w:drawing>
      </w:r>
    </w:p>
    <w:p w:rsidR="00331428" w:rsidRPr="00EC651E" w:rsidRDefault="00331428" w:rsidP="00BC72E2">
      <w:r w:rsidRPr="00EC651E">
        <w:t>Regenwasser</w:t>
      </w:r>
      <w:r w:rsidRPr="00EC651E">
        <w:tab/>
      </w:r>
      <w:r w:rsidRPr="00EC651E">
        <w:tab/>
        <w:t>=</w:t>
      </w:r>
      <w:r w:rsidRPr="00EC651E">
        <w:tab/>
        <w:t xml:space="preserve">rain </w:t>
      </w:r>
      <w:proofErr w:type="spellStart"/>
      <w:r w:rsidRPr="00EC651E">
        <w:t>water</w:t>
      </w:r>
      <w:proofErr w:type="spellEnd"/>
    </w:p>
    <w:p w:rsidR="00331428" w:rsidRPr="00EC651E" w:rsidRDefault="00331428" w:rsidP="00BC72E2">
      <w:r w:rsidRPr="00EC651E">
        <w:t>Schmutzwasser</w:t>
      </w:r>
      <w:r w:rsidRPr="00EC651E">
        <w:tab/>
        <w:t>=</w:t>
      </w:r>
      <w:r w:rsidRPr="00EC651E">
        <w:tab/>
      </w:r>
      <w:proofErr w:type="spellStart"/>
      <w:r w:rsidRPr="00EC651E">
        <w:t>sewage</w:t>
      </w:r>
      <w:proofErr w:type="spellEnd"/>
    </w:p>
    <w:p w:rsidR="00331428" w:rsidRPr="001E1875" w:rsidRDefault="00331428" w:rsidP="00BC72E2">
      <w:r w:rsidRPr="001E1875">
        <w:t>Mischwasser</w:t>
      </w:r>
      <w:r w:rsidRPr="001E1875">
        <w:tab/>
      </w:r>
      <w:r w:rsidRPr="001E1875">
        <w:tab/>
        <w:t>=</w:t>
      </w:r>
      <w:r w:rsidRPr="001E1875">
        <w:tab/>
      </w:r>
      <w:proofErr w:type="spellStart"/>
      <w:r w:rsidRPr="001E1875">
        <w:t>combined</w:t>
      </w:r>
      <w:proofErr w:type="spellEnd"/>
      <w:r w:rsidRPr="001E1875">
        <w:t xml:space="preserve"> </w:t>
      </w:r>
      <w:proofErr w:type="spellStart"/>
      <w:r w:rsidRPr="001E1875">
        <w:t>system</w:t>
      </w:r>
      <w:proofErr w:type="spellEnd"/>
    </w:p>
    <w:p w:rsidR="00331428" w:rsidRPr="001E1875" w:rsidRDefault="00331428" w:rsidP="00BC72E2"/>
    <w:p w:rsidR="00331428" w:rsidRDefault="00331428" w:rsidP="00BC72E2">
      <w:pPr>
        <w:rPr>
          <w:b/>
          <w:lang w:val="en-US"/>
        </w:rPr>
      </w:pPr>
      <w:r w:rsidRPr="001E1875">
        <w:tab/>
      </w:r>
      <w:r w:rsidRPr="001E1875">
        <w:tab/>
      </w:r>
      <w:r>
        <w:rPr>
          <w:b/>
          <w:lang w:val="en-US"/>
        </w:rPr>
        <w:t>Illustration 4:</w:t>
      </w:r>
      <w:r>
        <w:rPr>
          <w:b/>
          <w:lang w:val="en-US"/>
        </w:rPr>
        <w:tab/>
        <w:t>system distribution in the Bochum grid</w:t>
      </w:r>
    </w:p>
    <w:p w:rsidR="00331428" w:rsidRDefault="00331428" w:rsidP="00BC72E2">
      <w:pPr>
        <w:rPr>
          <w:b/>
          <w:lang w:val="en-US"/>
        </w:rPr>
      </w:pPr>
    </w:p>
    <w:p w:rsidR="00331428" w:rsidRDefault="003F0CB6" w:rsidP="00BC72E2">
      <w:pPr>
        <w:rPr>
          <w:lang w:val="en-US"/>
        </w:rPr>
      </w:pPr>
      <w:r>
        <w:rPr>
          <w:lang w:val="en-US"/>
        </w:rPr>
        <w:t>The shapes are mainly circular, but there are also egg-, taper- and box-shapes.</w:t>
      </w:r>
    </w:p>
    <w:p w:rsidR="003F0CB6" w:rsidRDefault="003F0CB6" w:rsidP="00BC72E2">
      <w:pPr>
        <w:rPr>
          <w:lang w:val="en-US"/>
        </w:rPr>
      </w:pPr>
    </w:p>
    <w:p w:rsidR="003F0CB6" w:rsidRDefault="003F0CB6" w:rsidP="00BC72E2">
      <w:pPr>
        <w:rPr>
          <w:lang w:val="en-US"/>
        </w:rPr>
      </w:pPr>
    </w:p>
    <w:p w:rsidR="003F0CB6" w:rsidRDefault="009E6577" w:rsidP="00BC72E2">
      <w:pPr>
        <w:rPr>
          <w:lang w:val="en-US"/>
        </w:rPr>
      </w:pPr>
      <w:r>
        <w:rPr>
          <w:noProof/>
        </w:rPr>
        <w:lastRenderedPageBreak/>
        <w:drawing>
          <wp:inline distT="0" distB="0" distL="0" distR="0">
            <wp:extent cx="2905760" cy="204216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905760" cy="2042160"/>
                    </a:xfrm>
                    <a:prstGeom prst="rect">
                      <a:avLst/>
                    </a:prstGeom>
                    <a:noFill/>
                    <a:ln w="9525">
                      <a:noFill/>
                      <a:miter lim="800000"/>
                      <a:headEnd/>
                      <a:tailEnd/>
                    </a:ln>
                  </pic:spPr>
                </pic:pic>
              </a:graphicData>
            </a:graphic>
          </wp:inline>
        </w:drawing>
      </w:r>
    </w:p>
    <w:p w:rsidR="003F0CB6" w:rsidRPr="001E1875" w:rsidRDefault="003F0CB6" w:rsidP="00BC72E2">
      <w:r w:rsidRPr="001E1875">
        <w:t>DN 401 – 800</w:t>
      </w:r>
      <w:r w:rsidRPr="001E1875">
        <w:tab/>
      </w:r>
      <w:r w:rsidRPr="001E1875">
        <w:tab/>
        <w:t>=</w:t>
      </w:r>
      <w:r w:rsidRPr="001E1875">
        <w:tab/>
        <w:t>16” – 32”</w:t>
      </w:r>
      <w:r w:rsidRPr="001E1875">
        <w:tab/>
        <w:t>25%</w:t>
      </w:r>
    </w:p>
    <w:p w:rsidR="003F0CB6" w:rsidRPr="001E1875" w:rsidRDefault="003F0CB6" w:rsidP="00BC72E2">
      <w:r w:rsidRPr="001E1875">
        <w:t>DN 801 – 1600</w:t>
      </w:r>
      <w:r w:rsidRPr="001E1875">
        <w:tab/>
        <w:t>=</w:t>
      </w:r>
      <w:r w:rsidRPr="001E1875">
        <w:tab/>
        <w:t>32” – 64”</w:t>
      </w:r>
      <w:r w:rsidRPr="001E1875">
        <w:tab/>
        <w:t>9%</w:t>
      </w:r>
    </w:p>
    <w:p w:rsidR="003F0CB6" w:rsidRPr="001E1875" w:rsidRDefault="003F0CB6" w:rsidP="00BC72E2">
      <w:r w:rsidRPr="001E1875">
        <w:t>&gt;DN 1600</w:t>
      </w:r>
      <w:r w:rsidRPr="001E1875">
        <w:tab/>
      </w:r>
      <w:r w:rsidRPr="001E1875">
        <w:tab/>
        <w:t>=</w:t>
      </w:r>
      <w:r w:rsidRPr="001E1875">
        <w:tab/>
        <w:t>&gt;64”</w:t>
      </w:r>
      <w:r w:rsidRPr="001E1875">
        <w:tab/>
      </w:r>
      <w:r w:rsidRPr="001E1875">
        <w:tab/>
        <w:t>2%</w:t>
      </w:r>
    </w:p>
    <w:p w:rsidR="003F0CB6" w:rsidRPr="001E1875" w:rsidRDefault="003F0CB6" w:rsidP="00BC72E2">
      <w:r w:rsidRPr="001E1875">
        <w:t>&lt;DN 300</w:t>
      </w:r>
      <w:r w:rsidRPr="001E1875">
        <w:tab/>
      </w:r>
      <w:r w:rsidRPr="001E1875">
        <w:tab/>
        <w:t>=</w:t>
      </w:r>
      <w:r w:rsidRPr="001E1875">
        <w:tab/>
        <w:t>&lt;12”</w:t>
      </w:r>
      <w:r w:rsidRPr="001E1875">
        <w:tab/>
      </w:r>
      <w:r w:rsidRPr="001E1875">
        <w:tab/>
        <w:t>6%</w:t>
      </w:r>
    </w:p>
    <w:p w:rsidR="003F0CB6" w:rsidRPr="001E1875" w:rsidRDefault="003F0CB6" w:rsidP="00BC72E2">
      <w:r w:rsidRPr="001E1875">
        <w:t>DN 300 – 400</w:t>
      </w:r>
      <w:r w:rsidRPr="001E1875">
        <w:tab/>
      </w:r>
      <w:r w:rsidRPr="001E1875">
        <w:tab/>
        <w:t>=</w:t>
      </w:r>
      <w:r w:rsidRPr="001E1875">
        <w:tab/>
        <w:t>12” – 16”</w:t>
      </w:r>
      <w:r w:rsidRPr="001E1875">
        <w:tab/>
        <w:t>58%</w:t>
      </w:r>
    </w:p>
    <w:p w:rsidR="003F0CB6" w:rsidRPr="001E1875" w:rsidRDefault="003F0CB6" w:rsidP="00BC72E2"/>
    <w:p w:rsidR="003F0CB6" w:rsidRDefault="003F0CB6" w:rsidP="00BC72E2">
      <w:pPr>
        <w:rPr>
          <w:b/>
          <w:lang w:val="en-US"/>
        </w:rPr>
      </w:pPr>
      <w:r w:rsidRPr="001E1875">
        <w:tab/>
      </w:r>
      <w:r w:rsidRPr="001E1875">
        <w:tab/>
      </w:r>
      <w:r>
        <w:rPr>
          <w:b/>
          <w:lang w:val="en-US"/>
        </w:rPr>
        <w:t>Illustration 5:</w:t>
      </w:r>
      <w:r>
        <w:rPr>
          <w:b/>
          <w:lang w:val="en-US"/>
        </w:rPr>
        <w:tab/>
        <w:t>cross-section distribution in the Bochum grid</w:t>
      </w:r>
    </w:p>
    <w:p w:rsidR="003F0CB6" w:rsidRDefault="003F0CB6" w:rsidP="00BC72E2">
      <w:pPr>
        <w:rPr>
          <w:b/>
          <w:lang w:val="en-US"/>
        </w:rPr>
      </w:pPr>
    </w:p>
    <w:p w:rsidR="002A3DBF" w:rsidRDefault="002A3DBF" w:rsidP="00BC72E2">
      <w:pPr>
        <w:rPr>
          <w:lang w:val="en-US"/>
        </w:rPr>
      </w:pPr>
      <w:r>
        <w:rPr>
          <w:lang w:val="en-US"/>
        </w:rPr>
        <w:t>The majority of the grid (a</w:t>
      </w:r>
      <w:r w:rsidR="003F0CB6">
        <w:rPr>
          <w:lang w:val="en-US"/>
        </w:rPr>
        <w:t>bout 70%</w:t>
      </w:r>
      <w:r>
        <w:rPr>
          <w:lang w:val="en-US"/>
        </w:rPr>
        <w:t>) is made of concrete/reinforced concrete. The rest consists of brick, clay, plastic, asbestos cement and ductile iron.</w:t>
      </w:r>
    </w:p>
    <w:p w:rsidR="009E6577" w:rsidRDefault="009E6577" w:rsidP="00BC72E2">
      <w:pPr>
        <w:rPr>
          <w:lang w:val="en-US"/>
        </w:rPr>
      </w:pPr>
    </w:p>
    <w:p w:rsidR="009E6577" w:rsidRDefault="009E6577" w:rsidP="00BC72E2">
      <w:pPr>
        <w:rPr>
          <w:lang w:val="en-US"/>
        </w:rPr>
      </w:pPr>
      <w:r>
        <w:rPr>
          <w:noProof/>
        </w:rPr>
        <w:drawing>
          <wp:inline distT="0" distB="0" distL="0" distR="0">
            <wp:extent cx="2773680" cy="191008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773680" cy="1910080"/>
                    </a:xfrm>
                    <a:prstGeom prst="rect">
                      <a:avLst/>
                    </a:prstGeom>
                    <a:noFill/>
                    <a:ln w="9525">
                      <a:noFill/>
                      <a:miter lim="800000"/>
                      <a:headEnd/>
                      <a:tailEnd/>
                    </a:ln>
                  </pic:spPr>
                </pic:pic>
              </a:graphicData>
            </a:graphic>
          </wp:inline>
        </w:drawing>
      </w:r>
    </w:p>
    <w:p w:rsidR="002A3DBF" w:rsidRDefault="002A3DBF" w:rsidP="00BC72E2">
      <w:pPr>
        <w:rPr>
          <w:lang w:val="en-US"/>
        </w:rPr>
      </w:pPr>
    </w:p>
    <w:p w:rsidR="002A3DBF" w:rsidRDefault="002A3DBF" w:rsidP="00BC72E2">
      <w:pPr>
        <w:rPr>
          <w:lang w:val="en-US"/>
        </w:rPr>
      </w:pPr>
      <w:proofErr w:type="spellStart"/>
      <w:r>
        <w:rPr>
          <w:lang w:val="en-US"/>
        </w:rPr>
        <w:t>Beton</w:t>
      </w:r>
      <w:proofErr w:type="spellEnd"/>
      <w:r>
        <w:rPr>
          <w:lang w:val="en-US"/>
        </w:rPr>
        <w:t xml:space="preserve">, </w:t>
      </w:r>
      <w:proofErr w:type="spellStart"/>
      <w:r>
        <w:rPr>
          <w:lang w:val="en-US"/>
        </w:rPr>
        <w:t>StB</w:t>
      </w:r>
      <w:proofErr w:type="spellEnd"/>
      <w:r>
        <w:rPr>
          <w:lang w:val="en-US"/>
        </w:rPr>
        <w:tab/>
      </w:r>
      <w:r>
        <w:rPr>
          <w:lang w:val="en-US"/>
        </w:rPr>
        <w:tab/>
        <w:t>=</w:t>
      </w:r>
      <w:r>
        <w:rPr>
          <w:lang w:val="en-US"/>
        </w:rPr>
        <w:tab/>
        <w:t>concrete, reinforced concrete</w:t>
      </w:r>
      <w:r>
        <w:rPr>
          <w:lang w:val="en-US"/>
        </w:rPr>
        <w:tab/>
        <w:t>76%</w:t>
      </w:r>
    </w:p>
    <w:p w:rsidR="002A3DBF" w:rsidRPr="00EC651E" w:rsidRDefault="002A3DBF" w:rsidP="00BC72E2">
      <w:r w:rsidRPr="00EC651E">
        <w:t>Mauerwerk</w:t>
      </w:r>
      <w:r w:rsidRPr="00EC651E">
        <w:tab/>
      </w:r>
      <w:r w:rsidRPr="00EC651E">
        <w:tab/>
        <w:t>=</w:t>
      </w:r>
      <w:r w:rsidRPr="00EC651E">
        <w:tab/>
      </w:r>
      <w:proofErr w:type="spellStart"/>
      <w:r w:rsidRPr="00EC651E">
        <w:t>brick</w:t>
      </w:r>
      <w:proofErr w:type="spellEnd"/>
      <w:r w:rsidRPr="00EC651E">
        <w:tab/>
      </w:r>
      <w:r w:rsidRPr="00EC651E">
        <w:tab/>
      </w:r>
      <w:r w:rsidRPr="00EC651E">
        <w:tab/>
      </w:r>
      <w:r w:rsidRPr="00EC651E">
        <w:tab/>
      </w:r>
      <w:r w:rsidRPr="00EC651E">
        <w:tab/>
        <w:t>1%</w:t>
      </w:r>
    </w:p>
    <w:p w:rsidR="002A3DBF" w:rsidRPr="00EC651E" w:rsidRDefault="002A3DBF" w:rsidP="00BC72E2">
      <w:r w:rsidRPr="00EC651E">
        <w:t>Kunststoff</w:t>
      </w:r>
      <w:r w:rsidRPr="00EC651E">
        <w:tab/>
      </w:r>
      <w:r w:rsidRPr="00EC651E">
        <w:tab/>
        <w:t>=</w:t>
      </w:r>
      <w:r w:rsidRPr="00EC651E">
        <w:tab/>
      </w:r>
      <w:proofErr w:type="spellStart"/>
      <w:r w:rsidRPr="00EC651E">
        <w:t>plastic</w:t>
      </w:r>
      <w:proofErr w:type="spellEnd"/>
      <w:r w:rsidRPr="00EC651E">
        <w:tab/>
      </w:r>
      <w:r w:rsidRPr="00EC651E">
        <w:tab/>
      </w:r>
      <w:r w:rsidRPr="00EC651E">
        <w:tab/>
      </w:r>
      <w:r w:rsidRPr="00EC651E">
        <w:tab/>
      </w:r>
      <w:r w:rsidRPr="00EC651E">
        <w:tab/>
        <w:t>2%</w:t>
      </w:r>
    </w:p>
    <w:p w:rsidR="002A3DBF" w:rsidRPr="00EC651E" w:rsidRDefault="007A3D9D" w:rsidP="00BC72E2">
      <w:r w:rsidRPr="00EC651E">
        <w:t>Asbest</w:t>
      </w:r>
      <w:r w:rsidR="002A3DBF" w:rsidRPr="00EC651E">
        <w:tab/>
      </w:r>
      <w:r w:rsidR="002A3DBF" w:rsidRPr="00EC651E">
        <w:tab/>
        <w:t>=</w:t>
      </w:r>
      <w:r w:rsidR="002A3DBF" w:rsidRPr="00EC651E">
        <w:tab/>
      </w:r>
      <w:proofErr w:type="spellStart"/>
      <w:r w:rsidR="002A3DBF" w:rsidRPr="00EC651E">
        <w:t>asbestos</w:t>
      </w:r>
      <w:proofErr w:type="spellEnd"/>
      <w:r w:rsidR="002A3DBF" w:rsidRPr="00EC651E">
        <w:t xml:space="preserve"> </w:t>
      </w:r>
      <w:proofErr w:type="spellStart"/>
      <w:r w:rsidR="002A3DBF" w:rsidRPr="00EC651E">
        <w:t>cement</w:t>
      </w:r>
      <w:proofErr w:type="spellEnd"/>
      <w:r w:rsidR="002A3DBF" w:rsidRPr="00EC651E">
        <w:tab/>
      </w:r>
      <w:r w:rsidR="002A3DBF" w:rsidRPr="00EC651E">
        <w:tab/>
      </w:r>
      <w:r w:rsidR="002A3DBF" w:rsidRPr="00EC651E">
        <w:tab/>
        <w:t>1%</w:t>
      </w:r>
    </w:p>
    <w:p w:rsidR="002A3DBF" w:rsidRDefault="002A3DBF" w:rsidP="00BC72E2">
      <w:pPr>
        <w:rPr>
          <w:lang w:val="en-US"/>
        </w:rPr>
      </w:pPr>
      <w:proofErr w:type="spellStart"/>
      <w:r>
        <w:rPr>
          <w:lang w:val="en-US"/>
        </w:rPr>
        <w:t>Guß</w:t>
      </w:r>
      <w:proofErr w:type="spellEnd"/>
      <w:r>
        <w:rPr>
          <w:lang w:val="en-US"/>
        </w:rPr>
        <w:t>, Stahl</w:t>
      </w:r>
      <w:r>
        <w:rPr>
          <w:lang w:val="en-US"/>
        </w:rPr>
        <w:tab/>
      </w:r>
      <w:r>
        <w:rPr>
          <w:lang w:val="en-US"/>
        </w:rPr>
        <w:tab/>
        <w:t>=</w:t>
      </w:r>
      <w:r>
        <w:rPr>
          <w:lang w:val="en-US"/>
        </w:rPr>
        <w:tab/>
        <w:t>ductile iron, steel</w:t>
      </w:r>
      <w:r>
        <w:rPr>
          <w:lang w:val="en-US"/>
        </w:rPr>
        <w:tab/>
      </w:r>
      <w:r>
        <w:rPr>
          <w:lang w:val="en-US"/>
        </w:rPr>
        <w:tab/>
      </w:r>
      <w:r>
        <w:rPr>
          <w:lang w:val="en-US"/>
        </w:rPr>
        <w:tab/>
        <w:t>1%</w:t>
      </w:r>
    </w:p>
    <w:p w:rsidR="002A3DBF" w:rsidRDefault="002A3DBF" w:rsidP="00BC72E2">
      <w:pPr>
        <w:rPr>
          <w:lang w:val="en-US"/>
        </w:rPr>
      </w:pPr>
      <w:proofErr w:type="spellStart"/>
      <w:r>
        <w:rPr>
          <w:lang w:val="en-US"/>
        </w:rPr>
        <w:t>Steinzeug</w:t>
      </w:r>
      <w:proofErr w:type="spellEnd"/>
      <w:r>
        <w:rPr>
          <w:lang w:val="en-US"/>
        </w:rPr>
        <w:tab/>
      </w:r>
      <w:r>
        <w:rPr>
          <w:lang w:val="en-US"/>
        </w:rPr>
        <w:tab/>
        <w:t>=</w:t>
      </w:r>
      <w:r>
        <w:rPr>
          <w:lang w:val="en-US"/>
        </w:rPr>
        <w:tab/>
        <w:t>clay</w:t>
      </w:r>
      <w:r>
        <w:rPr>
          <w:lang w:val="en-US"/>
        </w:rPr>
        <w:tab/>
      </w:r>
      <w:r>
        <w:rPr>
          <w:lang w:val="en-US"/>
        </w:rPr>
        <w:tab/>
      </w:r>
      <w:r>
        <w:rPr>
          <w:lang w:val="en-US"/>
        </w:rPr>
        <w:tab/>
      </w:r>
      <w:r>
        <w:rPr>
          <w:lang w:val="en-US"/>
        </w:rPr>
        <w:tab/>
      </w:r>
      <w:r>
        <w:rPr>
          <w:lang w:val="en-US"/>
        </w:rPr>
        <w:tab/>
        <w:t>19%</w:t>
      </w:r>
    </w:p>
    <w:p w:rsidR="002A3DBF" w:rsidRDefault="002A3DBF" w:rsidP="00BC72E2">
      <w:pPr>
        <w:rPr>
          <w:lang w:val="en-US"/>
        </w:rPr>
      </w:pPr>
    </w:p>
    <w:p w:rsidR="002A3DBF" w:rsidRDefault="002A3DBF" w:rsidP="00BC72E2">
      <w:pPr>
        <w:rPr>
          <w:b/>
          <w:lang w:val="en-US"/>
        </w:rPr>
      </w:pPr>
      <w:r>
        <w:rPr>
          <w:lang w:val="en-US"/>
        </w:rPr>
        <w:tab/>
      </w:r>
      <w:r>
        <w:rPr>
          <w:lang w:val="en-US"/>
        </w:rPr>
        <w:tab/>
      </w:r>
      <w:r>
        <w:rPr>
          <w:b/>
          <w:lang w:val="en-US"/>
        </w:rPr>
        <w:t>Illustration 6:</w:t>
      </w:r>
      <w:r>
        <w:rPr>
          <w:b/>
          <w:lang w:val="en-US"/>
        </w:rPr>
        <w:tab/>
        <w:t>Material distribution in the Bochum grid (2)</w:t>
      </w:r>
    </w:p>
    <w:p w:rsidR="00012521" w:rsidRDefault="00012521" w:rsidP="00BC72E2">
      <w:pPr>
        <w:rPr>
          <w:b/>
          <w:lang w:val="en-US"/>
        </w:rPr>
      </w:pPr>
    </w:p>
    <w:p w:rsidR="00012521" w:rsidRDefault="00012521" w:rsidP="00BC72E2">
      <w:pPr>
        <w:rPr>
          <w:b/>
          <w:lang w:val="en-US"/>
        </w:rPr>
      </w:pPr>
    </w:p>
    <w:p w:rsidR="00012521" w:rsidRDefault="00012521" w:rsidP="00BC72E2">
      <w:pPr>
        <w:rPr>
          <w:lang w:val="en-US"/>
        </w:rPr>
      </w:pPr>
    </w:p>
    <w:p w:rsidR="00012521" w:rsidRDefault="00012521" w:rsidP="00BC72E2">
      <w:pPr>
        <w:rPr>
          <w:b/>
          <w:lang w:val="en-US"/>
        </w:rPr>
      </w:pPr>
      <w:r>
        <w:rPr>
          <w:b/>
          <w:lang w:val="en-US"/>
        </w:rPr>
        <w:t>2. Problem Statement</w:t>
      </w:r>
    </w:p>
    <w:p w:rsidR="00012521" w:rsidRDefault="00012521" w:rsidP="00BC72E2">
      <w:pPr>
        <w:rPr>
          <w:b/>
          <w:lang w:val="en-US"/>
        </w:rPr>
      </w:pPr>
    </w:p>
    <w:p w:rsidR="00012521" w:rsidRDefault="00012521" w:rsidP="00BC72E2">
      <w:pPr>
        <w:rPr>
          <w:lang w:val="en-US"/>
        </w:rPr>
      </w:pPr>
      <w:r>
        <w:rPr>
          <w:lang w:val="en-US"/>
        </w:rPr>
        <w:t xml:space="preserve">It is impossible to exactly forecast the technical life of an individual portion of the grid, i.e. the moment, when the usable reserves are used up and damages occur. It is possible to use statistical methods and aging models in order to develop a scenario of wear </w:t>
      </w:r>
      <w:r>
        <w:rPr>
          <w:lang w:val="en-US"/>
        </w:rPr>
        <w:lastRenderedPageBreak/>
        <w:t>specific for the grid which show the principal (probable) development of individual clusters of line sections</w:t>
      </w:r>
      <w:r w:rsidR="00197F09">
        <w:rPr>
          <w:lang w:val="en-US"/>
        </w:rPr>
        <w:t>. Yet one cannot make a specific prediction for an individual segment. Along with the disruption of the whole section one has to consider the possibility of localized damages, which can be repaired or rehabilitated. These events can be estimated for individual clusters with the application of the models described above.</w:t>
      </w:r>
    </w:p>
    <w:p w:rsidR="00197F09" w:rsidRDefault="00197F09" w:rsidP="00BC72E2">
      <w:pPr>
        <w:rPr>
          <w:lang w:val="en-US"/>
        </w:rPr>
      </w:pPr>
      <w:r>
        <w:rPr>
          <w:lang w:val="en-US"/>
        </w:rPr>
        <w:t xml:space="preserve">Whether a decision taken in practice for the renewal, rehabilitation or repair will lead to the calculated development of the grid, can only be judged in the future. This means also that the distribution of the total budget onto </w:t>
      </w:r>
      <w:r w:rsidR="00BF05F8">
        <w:rPr>
          <w:lang w:val="en-US"/>
        </w:rPr>
        <w:t>renewal, , renovation or repair based on such a prognosis model does not necessarily lead to the desired results.</w:t>
      </w:r>
      <w:r w:rsidR="0066094F">
        <w:rPr>
          <w:lang w:val="en-US"/>
        </w:rPr>
        <w:t xml:space="preserve"> The practical decision to repair, rehabilitate or renew still remains the “great art” of the planner. The relevant factors for maintenance and modernization are age structure and the budget for an of the sewer grid in question.</w:t>
      </w:r>
      <w:r w:rsidR="009E5C95">
        <w:rPr>
          <w:lang w:val="en-US"/>
        </w:rPr>
        <w:t xml:space="preserve"> These factors can be influenced only in a limited way, yet sensible solutions must be found to live up to the intergenerational contract. </w:t>
      </w:r>
    </w:p>
    <w:p w:rsidR="009E5C95" w:rsidRDefault="009E5C95" w:rsidP="00BC72E2">
      <w:pPr>
        <w:rPr>
          <w:lang w:val="en-US"/>
        </w:rPr>
      </w:pPr>
    </w:p>
    <w:p w:rsidR="009E5C95" w:rsidRDefault="009E5C95" w:rsidP="00BC72E2">
      <w:pPr>
        <w:rPr>
          <w:lang w:val="en-US"/>
        </w:rPr>
      </w:pPr>
      <w:r>
        <w:rPr>
          <w:lang w:val="en-US"/>
        </w:rPr>
        <w:t xml:space="preserve">The age structure of the Essen grid (shown as a </w:t>
      </w:r>
      <w:proofErr w:type="spellStart"/>
      <w:r>
        <w:rPr>
          <w:lang w:val="en-US"/>
        </w:rPr>
        <w:t>decades</w:t>
      </w:r>
      <w:proofErr w:type="spellEnd"/>
      <w:r>
        <w:rPr>
          <w:lang w:val="en-US"/>
        </w:rPr>
        <w:t xml:space="preserve"> cluster) exemplifies one of the principal problems</w:t>
      </w:r>
      <w:r w:rsidR="00646404">
        <w:rPr>
          <w:lang w:val="en-US"/>
        </w:rPr>
        <w:t xml:space="preserve"> of many sewer grids. </w:t>
      </w:r>
      <w:r w:rsidR="007A3D9D">
        <w:rPr>
          <w:lang w:val="en-US"/>
        </w:rPr>
        <w:t>In spite</w:t>
      </w:r>
      <w:r w:rsidR="00646404">
        <w:rPr>
          <w:lang w:val="en-US"/>
        </w:rPr>
        <w:t xml:space="preserve"> of the flattening through clustering we find a non-homogenous age structure. </w:t>
      </w:r>
      <w:r w:rsidR="00A44B28">
        <w:rPr>
          <w:lang w:val="en-US"/>
        </w:rPr>
        <w:t>Non-homogenous is defined as the proportion of the length of a grid from one decade</w:t>
      </w:r>
      <w:r w:rsidR="00646404">
        <w:rPr>
          <w:lang w:val="en-US"/>
        </w:rPr>
        <w:t xml:space="preserve"> </w:t>
      </w:r>
      <w:r w:rsidR="00A44B28">
        <w:rPr>
          <w:lang w:val="en-US"/>
        </w:rPr>
        <w:t>to the overall grid length. With a homogenous structure  and an expected life of 100 years one would find nearly 10% of the total grid in each decade. At an expected technical life of 80 years this value ought to be about 12.5% of the grid length. This poses two problems, which are discussed below:</w:t>
      </w:r>
    </w:p>
    <w:p w:rsidR="00A44B28" w:rsidRDefault="00A44B28" w:rsidP="00BC72E2">
      <w:pPr>
        <w:rPr>
          <w:lang w:val="en-US"/>
        </w:rPr>
      </w:pPr>
    </w:p>
    <w:p w:rsidR="00431B2D" w:rsidRPr="00431B2D" w:rsidRDefault="00431B2D" w:rsidP="00431B2D">
      <w:pPr>
        <w:pStyle w:val="Listenabsatz"/>
        <w:numPr>
          <w:ilvl w:val="0"/>
          <w:numId w:val="4"/>
        </w:numPr>
        <w:rPr>
          <w:lang w:val="en-US"/>
        </w:rPr>
      </w:pPr>
      <w:r w:rsidRPr="00431B2D">
        <w:rPr>
          <w:lang w:val="en-US"/>
        </w:rPr>
        <w:t xml:space="preserve">Taking an average technical life of 80 years one finds about 20% of  the pipes, which have already exceeded this age. This value will grow to about 20% in the next two decades, if there are no renewals in these clusters. Even if we take an average renewal rate of 1.25% per year there still remains a deficit of about 5% at the end of the decade. </w:t>
      </w:r>
      <w:r w:rsidRPr="00431B2D">
        <w:rPr>
          <w:lang w:val="en-US"/>
        </w:rPr>
        <w:br/>
      </w:r>
    </w:p>
    <w:p w:rsidR="00431B2D" w:rsidRDefault="00431B2D" w:rsidP="00431B2D">
      <w:pPr>
        <w:pStyle w:val="Listenabsatz"/>
        <w:numPr>
          <w:ilvl w:val="0"/>
          <w:numId w:val="4"/>
        </w:numPr>
        <w:rPr>
          <w:lang w:val="en-US"/>
        </w:rPr>
      </w:pPr>
      <w:r>
        <w:rPr>
          <w:lang w:val="en-US"/>
        </w:rPr>
        <w:t>The decades “until 1970” and “until 1980” comprise at present a portion of also about 30% of the grid length. Viewed in isolation and at a renewal rate of 1.25% per year we’ll have a negative balance of approximately 5%.</w:t>
      </w:r>
    </w:p>
    <w:p w:rsidR="00431B2D" w:rsidRDefault="00431B2D" w:rsidP="00431B2D">
      <w:pPr>
        <w:rPr>
          <w:lang w:val="en-US"/>
        </w:rPr>
      </w:pPr>
    </w:p>
    <w:p w:rsidR="00A44B28" w:rsidRDefault="00431B2D" w:rsidP="00431B2D">
      <w:pPr>
        <w:rPr>
          <w:lang w:val="en-US"/>
        </w:rPr>
      </w:pPr>
      <w:r>
        <w:rPr>
          <w:lang w:val="en-US"/>
        </w:rPr>
        <w:t>In praxis one has to add the factors cross-section and depth, which exclude a continuous renewal rate at a steady budget. It is also not possible to put</w:t>
      </w:r>
      <w:r w:rsidR="005416A9">
        <w:rPr>
          <w:lang w:val="en-US"/>
        </w:rPr>
        <w:t xml:space="preserve"> the complete renewal budget into one decade. So it is inevitable to have a certain number of sections, which are beyond their technically useful life.</w:t>
      </w:r>
    </w:p>
    <w:p w:rsidR="005416A9" w:rsidRDefault="005416A9" w:rsidP="00431B2D">
      <w:pPr>
        <w:rPr>
          <w:lang w:val="en-US"/>
        </w:rPr>
      </w:pPr>
    </w:p>
    <w:p w:rsidR="005416A9" w:rsidRDefault="005416A9" w:rsidP="00431B2D">
      <w:pPr>
        <w:rPr>
          <w:lang w:val="en-US"/>
        </w:rPr>
      </w:pPr>
      <w:r>
        <w:rPr>
          <w:lang w:val="en-US"/>
        </w:rPr>
        <w:t xml:space="preserve">This requires the grid owner to look at the factors budget, age structure and the really existing substance value of each individual segment ant their consequences for the grid in its totality and to optimize them. The owner will have to design an individual strategy in order to satisfy the individual constraints. </w:t>
      </w:r>
    </w:p>
    <w:p w:rsidR="005416A9" w:rsidRDefault="005416A9" w:rsidP="00431B2D">
      <w:pPr>
        <w:rPr>
          <w:lang w:val="en-US"/>
        </w:rPr>
      </w:pPr>
    </w:p>
    <w:p w:rsidR="005416A9" w:rsidRDefault="009E6577" w:rsidP="00431B2D">
      <w:pPr>
        <w:rPr>
          <w:lang w:val="en-US"/>
        </w:rPr>
      </w:pPr>
      <w:r>
        <w:rPr>
          <w:noProof/>
        </w:rPr>
        <w:lastRenderedPageBreak/>
        <w:drawing>
          <wp:inline distT="0" distB="0" distL="0" distR="0">
            <wp:extent cx="3281680" cy="2306320"/>
            <wp:effectExtent l="0" t="0" r="0" b="0"/>
            <wp:docPr id="19" name="Objek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16A9" w:rsidRDefault="005416A9" w:rsidP="005416A9">
      <w:pPr>
        <w:jc w:val="center"/>
        <w:rPr>
          <w:lang w:val="en-US"/>
        </w:rPr>
      </w:pPr>
    </w:p>
    <w:p w:rsidR="005416A9" w:rsidRDefault="005416A9" w:rsidP="005416A9">
      <w:pPr>
        <w:jc w:val="center"/>
        <w:rPr>
          <w:lang w:val="en-US"/>
        </w:rPr>
      </w:pPr>
    </w:p>
    <w:p w:rsidR="005416A9" w:rsidRDefault="005416A9" w:rsidP="005416A9">
      <w:pPr>
        <w:jc w:val="center"/>
        <w:rPr>
          <w:b/>
          <w:lang w:val="en-US"/>
        </w:rPr>
      </w:pPr>
      <w:r>
        <w:rPr>
          <w:b/>
          <w:lang w:val="en-US"/>
        </w:rPr>
        <w:t>Illustration 7: Age cluster of the Essen sewer grid (1)</w:t>
      </w:r>
    </w:p>
    <w:p w:rsidR="005416A9" w:rsidRDefault="005416A9" w:rsidP="005416A9">
      <w:pPr>
        <w:jc w:val="center"/>
        <w:rPr>
          <w:b/>
          <w:lang w:val="en-US"/>
        </w:rPr>
      </w:pPr>
    </w:p>
    <w:p w:rsidR="005416A9" w:rsidRDefault="005416A9" w:rsidP="005416A9">
      <w:pPr>
        <w:jc w:val="center"/>
        <w:rPr>
          <w:b/>
          <w:lang w:val="en-US"/>
        </w:rPr>
      </w:pPr>
    </w:p>
    <w:p w:rsidR="005416A9" w:rsidRPr="00F34836" w:rsidRDefault="00F34836" w:rsidP="00F34836">
      <w:pPr>
        <w:pStyle w:val="Listenabsatz"/>
        <w:numPr>
          <w:ilvl w:val="0"/>
          <w:numId w:val="5"/>
        </w:numPr>
        <w:rPr>
          <w:b/>
          <w:lang w:val="en-US"/>
        </w:rPr>
      </w:pPr>
      <w:r w:rsidRPr="00F34836">
        <w:rPr>
          <w:b/>
          <w:lang w:val="en-US"/>
        </w:rPr>
        <w:t>Rehabilitation strategies</w:t>
      </w:r>
    </w:p>
    <w:p w:rsidR="00F34836" w:rsidRPr="00F34836" w:rsidRDefault="00F34836" w:rsidP="00F34836">
      <w:pPr>
        <w:pStyle w:val="Listenabsatz"/>
        <w:ind w:left="700"/>
        <w:rPr>
          <w:b/>
          <w:lang w:val="en-US"/>
        </w:rPr>
      </w:pPr>
    </w:p>
    <w:p w:rsidR="00F34836" w:rsidRPr="00F34836" w:rsidRDefault="00F34836" w:rsidP="00F34836">
      <w:pPr>
        <w:pStyle w:val="Listenabsatz"/>
        <w:numPr>
          <w:ilvl w:val="1"/>
          <w:numId w:val="5"/>
        </w:numPr>
        <w:rPr>
          <w:b/>
          <w:lang w:val="en-US"/>
        </w:rPr>
      </w:pPr>
      <w:r w:rsidRPr="00F34836">
        <w:rPr>
          <w:b/>
          <w:lang w:val="en-US"/>
        </w:rPr>
        <w:t>Essen:</w:t>
      </w:r>
    </w:p>
    <w:p w:rsidR="00F34836" w:rsidRDefault="00F34836" w:rsidP="00F34836">
      <w:pPr>
        <w:rPr>
          <w:b/>
          <w:lang w:val="en-US"/>
        </w:rPr>
      </w:pPr>
    </w:p>
    <w:p w:rsidR="00B9443F" w:rsidRDefault="00F34836" w:rsidP="00F34836">
      <w:pPr>
        <w:ind w:left="708"/>
        <w:rPr>
          <w:lang w:val="en-US"/>
        </w:rPr>
      </w:pPr>
      <w:r w:rsidRPr="00F34836">
        <w:rPr>
          <w:lang w:val="en-US"/>
        </w:rPr>
        <w:t xml:space="preserve">The design </w:t>
      </w:r>
      <w:r>
        <w:rPr>
          <w:lang w:val="en-US"/>
        </w:rPr>
        <w:t xml:space="preserve">of a </w:t>
      </w:r>
      <w:r w:rsidR="007A3D9D">
        <w:rPr>
          <w:lang w:val="en-US"/>
        </w:rPr>
        <w:t>holistic</w:t>
      </w:r>
      <w:r>
        <w:rPr>
          <w:lang w:val="en-US"/>
        </w:rPr>
        <w:t xml:space="preserve"> rehabilitation concept is based upon DIN EN 752 “Drainage Systems outside of Buildings” in conjunction with regulation DWA –</w:t>
      </w:r>
      <w:r w:rsidR="009428AA">
        <w:rPr>
          <w:lang w:val="en-US"/>
        </w:rPr>
        <w:t xml:space="preserve"> A 118. The emphasi</w:t>
      </w:r>
      <w:r>
        <w:rPr>
          <w:lang w:val="en-US"/>
        </w:rPr>
        <w:t xml:space="preserve">s lies in the areas of hydraulic and structural examinations. The need for investigating aspects of environmental relevance and further </w:t>
      </w:r>
      <w:r w:rsidR="00B9443F">
        <w:rPr>
          <w:lang w:val="en-US"/>
        </w:rPr>
        <w:t>reviews is determined by the specifics of the grid. Planning is done per area, the sequence is a result of the legal requirements and the cycle of the execution of the structural evaluation according to the “Self-regulatory Regulation for Sewers (</w:t>
      </w:r>
      <w:proofErr w:type="spellStart"/>
      <w:r w:rsidR="00B9443F">
        <w:rPr>
          <w:lang w:val="en-US"/>
        </w:rPr>
        <w:t>SüwV</w:t>
      </w:r>
      <w:proofErr w:type="spellEnd"/>
      <w:r w:rsidR="00B9443F">
        <w:rPr>
          <w:lang w:val="en-US"/>
        </w:rPr>
        <w:t xml:space="preserve"> Kan).</w:t>
      </w:r>
    </w:p>
    <w:p w:rsidR="00B9443F" w:rsidRDefault="00B9443F" w:rsidP="00F34836">
      <w:pPr>
        <w:ind w:left="708"/>
        <w:rPr>
          <w:lang w:val="en-US"/>
        </w:rPr>
      </w:pPr>
    </w:p>
    <w:p w:rsidR="009428AA" w:rsidRDefault="00B9443F" w:rsidP="00F34836">
      <w:pPr>
        <w:ind w:left="708"/>
        <w:rPr>
          <w:lang w:val="en-US"/>
        </w:rPr>
      </w:pPr>
      <w:r>
        <w:rPr>
          <w:lang w:val="en-US"/>
        </w:rPr>
        <w:t xml:space="preserve">As part of the development of a </w:t>
      </w:r>
      <w:r w:rsidR="007A3D9D">
        <w:rPr>
          <w:lang w:val="en-US"/>
        </w:rPr>
        <w:t>holistic</w:t>
      </w:r>
      <w:r>
        <w:rPr>
          <w:lang w:val="en-US"/>
        </w:rPr>
        <w:t xml:space="preserve"> rehabilitation concept one analyzes the structural and hydraulic potential and deficits. This analysis supplies the data basis for a long-term repair plan. </w:t>
      </w:r>
      <w:r w:rsidR="009428AA">
        <w:rPr>
          <w:lang w:val="en-US"/>
        </w:rPr>
        <w:t xml:space="preserve">The roadmap to the desired grid is made up within the framework of the plans and describes the concrete renewal, rehabilitation and repair measures for a period of 15 years, i.e. until the next structural as-is examination. </w:t>
      </w:r>
    </w:p>
    <w:p w:rsidR="009428AA" w:rsidRDefault="009428AA" w:rsidP="00F34836">
      <w:pPr>
        <w:ind w:left="708"/>
        <w:rPr>
          <w:lang w:val="en-US"/>
        </w:rPr>
      </w:pPr>
    </w:p>
    <w:p w:rsidR="00F34836" w:rsidRDefault="007A3D9D" w:rsidP="00F34836">
      <w:pPr>
        <w:ind w:left="708"/>
        <w:rPr>
          <w:lang w:val="en-US"/>
        </w:rPr>
      </w:pPr>
      <w:r>
        <w:rPr>
          <w:lang w:val="en-US"/>
        </w:rPr>
        <w:t>These</w:t>
      </w:r>
      <w:r w:rsidR="009428AA">
        <w:rPr>
          <w:lang w:val="en-US"/>
        </w:rPr>
        <w:t xml:space="preserve"> measures of the individual and area oriented rehabilitation concepts are fed into the list for the continuation of the Waste Water Disposal Concept (ABK) and made part of the concrete scheduling of realization.</w:t>
      </w:r>
    </w:p>
    <w:p w:rsidR="009428AA" w:rsidRDefault="009428AA" w:rsidP="00F34836">
      <w:pPr>
        <w:ind w:left="708"/>
        <w:rPr>
          <w:lang w:val="en-US"/>
        </w:rPr>
      </w:pPr>
    </w:p>
    <w:p w:rsidR="009428AA" w:rsidRDefault="009428AA" w:rsidP="00F34836">
      <w:pPr>
        <w:ind w:left="708"/>
        <w:rPr>
          <w:lang w:val="en-US"/>
        </w:rPr>
      </w:pPr>
    </w:p>
    <w:p w:rsidR="009428AA" w:rsidRDefault="009428AA" w:rsidP="00F34836">
      <w:pPr>
        <w:ind w:left="708"/>
        <w:rPr>
          <w:b/>
          <w:lang w:val="en-US"/>
        </w:rPr>
      </w:pPr>
      <w:r>
        <w:rPr>
          <w:b/>
          <w:lang w:val="en-US"/>
        </w:rPr>
        <w:t>3.2. Bochum</w:t>
      </w:r>
    </w:p>
    <w:p w:rsidR="009428AA" w:rsidRDefault="009428AA" w:rsidP="00F34836">
      <w:pPr>
        <w:ind w:left="708"/>
        <w:rPr>
          <w:b/>
          <w:lang w:val="en-US"/>
        </w:rPr>
      </w:pPr>
    </w:p>
    <w:p w:rsidR="009428AA" w:rsidRDefault="009428AA" w:rsidP="00F34836">
      <w:pPr>
        <w:ind w:left="708"/>
        <w:rPr>
          <w:lang w:val="en-US"/>
        </w:rPr>
      </w:pPr>
      <w:r>
        <w:rPr>
          <w:lang w:val="en-US"/>
        </w:rPr>
        <w:t xml:space="preserve">Like in Essen when crating a </w:t>
      </w:r>
      <w:r w:rsidR="007A3D9D">
        <w:rPr>
          <w:lang w:val="en-US"/>
        </w:rPr>
        <w:t>holistic</w:t>
      </w:r>
      <w:r>
        <w:rPr>
          <w:lang w:val="en-US"/>
        </w:rPr>
        <w:t xml:space="preserve"> rehabilitation concept the focus is on </w:t>
      </w:r>
      <w:r w:rsidR="00483191">
        <w:rPr>
          <w:lang w:val="en-US"/>
        </w:rPr>
        <w:t>the inspection of the structural and hydraulic conditions. In contrast to Essen, though, planning and rehabilitation in Bochum is done for the complete city.</w:t>
      </w:r>
    </w:p>
    <w:p w:rsidR="00483191" w:rsidRDefault="00483191" w:rsidP="00F34836">
      <w:pPr>
        <w:ind w:left="708"/>
        <w:rPr>
          <w:lang w:val="en-US"/>
        </w:rPr>
      </w:pPr>
    </w:p>
    <w:p w:rsidR="00483191" w:rsidRDefault="00483191" w:rsidP="00F34836">
      <w:pPr>
        <w:ind w:left="708"/>
        <w:rPr>
          <w:lang w:val="en-US"/>
        </w:rPr>
      </w:pPr>
      <w:r>
        <w:rPr>
          <w:lang w:val="en-US"/>
        </w:rPr>
        <w:t xml:space="preserve">First data from a data bank containing information from inspections according to </w:t>
      </w:r>
      <w:proofErr w:type="spellStart"/>
      <w:r>
        <w:rPr>
          <w:lang w:val="en-US"/>
        </w:rPr>
        <w:t>SüwV</w:t>
      </w:r>
      <w:proofErr w:type="spellEnd"/>
      <w:r>
        <w:rPr>
          <w:lang w:val="en-US"/>
        </w:rPr>
        <w:t xml:space="preserve"> Kan classifying damages and hydraulics is analyzed. </w:t>
      </w:r>
    </w:p>
    <w:p w:rsidR="00483191" w:rsidRDefault="00483191" w:rsidP="00F34836">
      <w:pPr>
        <w:ind w:left="708"/>
        <w:rPr>
          <w:lang w:val="en-US"/>
        </w:rPr>
      </w:pPr>
    </w:p>
    <w:p w:rsidR="00483191" w:rsidRDefault="00483191" w:rsidP="00F34836">
      <w:pPr>
        <w:ind w:left="708"/>
        <w:rPr>
          <w:lang w:val="en-US"/>
        </w:rPr>
      </w:pPr>
      <w:r>
        <w:rPr>
          <w:lang w:val="en-US"/>
        </w:rPr>
        <w:t>After the automated classification still sections of dam</w:t>
      </w:r>
      <w:r w:rsidR="00424AA3">
        <w:rPr>
          <w:lang w:val="en-US"/>
        </w:rPr>
        <w:t>a</w:t>
      </w:r>
      <w:r>
        <w:rPr>
          <w:lang w:val="en-US"/>
        </w:rPr>
        <w:t xml:space="preserve">ge class 0.1 and 2 are re-examined and reclassified manually. </w:t>
      </w:r>
    </w:p>
    <w:p w:rsidR="00483191" w:rsidRDefault="00483191" w:rsidP="00F34836">
      <w:pPr>
        <w:ind w:left="708"/>
        <w:rPr>
          <w:lang w:val="en-US"/>
        </w:rPr>
      </w:pPr>
    </w:p>
    <w:p w:rsidR="00483191" w:rsidRDefault="00483191" w:rsidP="00F34836">
      <w:pPr>
        <w:ind w:left="708"/>
        <w:rPr>
          <w:lang w:val="en-US"/>
        </w:rPr>
      </w:pPr>
      <w:r>
        <w:rPr>
          <w:lang w:val="en-US"/>
        </w:rPr>
        <w:t xml:space="preserve">Side factors like hydraulics, changing from combined systems to separate systems and/or the actual visual of a damage determine the rehabilitation method. </w:t>
      </w:r>
    </w:p>
    <w:p w:rsidR="00483191" w:rsidRDefault="00483191" w:rsidP="00F34836">
      <w:pPr>
        <w:ind w:left="708"/>
        <w:rPr>
          <w:lang w:val="en-US"/>
        </w:rPr>
      </w:pPr>
    </w:p>
    <w:p w:rsidR="00424AA3" w:rsidRDefault="00483191" w:rsidP="00F34836">
      <w:pPr>
        <w:ind w:left="708"/>
        <w:rPr>
          <w:lang w:val="en-US"/>
        </w:rPr>
      </w:pPr>
      <w:r>
        <w:rPr>
          <w:lang w:val="en-US"/>
        </w:rPr>
        <w:t xml:space="preserve">If one looks at </w:t>
      </w:r>
      <w:r w:rsidR="00424AA3">
        <w:rPr>
          <w:lang w:val="en-US"/>
        </w:rPr>
        <w:t>the evaluation of the classification of the damages, one can easily see that not all sections classified 0 and 1 need to be renewed in an open trench manner because of the financial means.</w:t>
      </w:r>
    </w:p>
    <w:p w:rsidR="00424AA3" w:rsidRDefault="00424AA3" w:rsidP="00F34836">
      <w:pPr>
        <w:ind w:left="708"/>
        <w:rPr>
          <w:lang w:val="en-US"/>
        </w:rPr>
      </w:pPr>
    </w:p>
    <w:p w:rsidR="00424AA3" w:rsidRDefault="00424AA3" w:rsidP="00F34836">
      <w:pPr>
        <w:ind w:left="708"/>
        <w:rPr>
          <w:lang w:val="en-US"/>
        </w:rPr>
      </w:pPr>
    </w:p>
    <w:p w:rsidR="00424AA3" w:rsidRDefault="009E6577" w:rsidP="00424AA3">
      <w:pPr>
        <w:ind w:left="708"/>
        <w:rPr>
          <w:lang w:val="en-US"/>
        </w:rPr>
      </w:pPr>
      <w:r>
        <w:rPr>
          <w:noProof/>
        </w:rPr>
        <w:drawing>
          <wp:inline distT="0" distB="0" distL="0" distR="0">
            <wp:extent cx="2895600" cy="2001520"/>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895600" cy="2001520"/>
                    </a:xfrm>
                    <a:prstGeom prst="rect">
                      <a:avLst/>
                    </a:prstGeom>
                    <a:noFill/>
                    <a:ln w="9525">
                      <a:noFill/>
                      <a:miter lim="800000"/>
                      <a:headEnd/>
                      <a:tailEnd/>
                    </a:ln>
                  </pic:spPr>
                </pic:pic>
              </a:graphicData>
            </a:graphic>
          </wp:inline>
        </w:drawing>
      </w:r>
    </w:p>
    <w:p w:rsidR="00424AA3" w:rsidRDefault="00424AA3" w:rsidP="00424AA3">
      <w:pPr>
        <w:ind w:left="708"/>
        <w:rPr>
          <w:lang w:val="en-US"/>
        </w:rPr>
      </w:pPr>
    </w:p>
    <w:p w:rsidR="00424AA3" w:rsidRDefault="00424AA3" w:rsidP="00424AA3">
      <w:pPr>
        <w:ind w:left="708"/>
        <w:jc w:val="center"/>
        <w:rPr>
          <w:b/>
          <w:lang w:val="en-US"/>
        </w:rPr>
      </w:pPr>
      <w:r>
        <w:rPr>
          <w:b/>
          <w:lang w:val="en-US"/>
        </w:rPr>
        <w:t>Illustration 8: Damage classifications in the Bochum sewer grid (2)</w:t>
      </w:r>
    </w:p>
    <w:p w:rsidR="00424AA3" w:rsidRDefault="00424AA3" w:rsidP="00424AA3">
      <w:pPr>
        <w:ind w:left="708"/>
        <w:jc w:val="center"/>
        <w:rPr>
          <w:b/>
          <w:lang w:val="en-US"/>
        </w:rPr>
      </w:pPr>
    </w:p>
    <w:p w:rsidR="00424AA3" w:rsidRPr="00424AA3" w:rsidRDefault="00424AA3" w:rsidP="00424AA3">
      <w:pPr>
        <w:ind w:left="708"/>
        <w:jc w:val="center"/>
        <w:rPr>
          <w:b/>
          <w:lang w:val="en-US"/>
        </w:rPr>
      </w:pPr>
    </w:p>
    <w:p w:rsidR="00424AA3" w:rsidRDefault="00424AA3" w:rsidP="00424AA3">
      <w:pPr>
        <w:ind w:left="708"/>
        <w:rPr>
          <w:lang w:val="en-US"/>
        </w:rPr>
      </w:pPr>
      <w:r>
        <w:rPr>
          <w:lang w:val="en-US"/>
        </w:rPr>
        <w:t xml:space="preserve">In addition to the measures resulting from inspections according to </w:t>
      </w:r>
      <w:proofErr w:type="spellStart"/>
      <w:r>
        <w:rPr>
          <w:lang w:val="en-US"/>
        </w:rPr>
        <w:t>SüwV</w:t>
      </w:r>
      <w:proofErr w:type="spellEnd"/>
      <w:r>
        <w:rPr>
          <w:lang w:val="en-US"/>
        </w:rPr>
        <w:t xml:space="preserve"> Kan there are repairs because of road construction and immediate action due to sinkholes or foreign water ingress.</w:t>
      </w:r>
    </w:p>
    <w:p w:rsidR="00424AA3" w:rsidRDefault="00424AA3" w:rsidP="00424AA3">
      <w:pPr>
        <w:ind w:left="708"/>
        <w:rPr>
          <w:lang w:val="en-US"/>
        </w:rPr>
      </w:pPr>
    </w:p>
    <w:p w:rsidR="00424AA3" w:rsidRDefault="00424AA3" w:rsidP="00424AA3">
      <w:pPr>
        <w:ind w:left="708"/>
        <w:rPr>
          <w:lang w:val="en-US"/>
        </w:rPr>
      </w:pPr>
    </w:p>
    <w:p w:rsidR="00424AA3" w:rsidRPr="00424AA3" w:rsidRDefault="00424AA3" w:rsidP="00424AA3">
      <w:pPr>
        <w:pStyle w:val="Listenabsatz"/>
        <w:numPr>
          <w:ilvl w:val="0"/>
          <w:numId w:val="5"/>
        </w:numPr>
        <w:rPr>
          <w:b/>
          <w:lang w:val="en-US"/>
        </w:rPr>
      </w:pPr>
      <w:r w:rsidRPr="00424AA3">
        <w:rPr>
          <w:b/>
          <w:lang w:val="en-US"/>
        </w:rPr>
        <w:t>Technical Challenges</w:t>
      </w:r>
    </w:p>
    <w:p w:rsidR="00424AA3" w:rsidRDefault="00424AA3" w:rsidP="00424AA3">
      <w:pPr>
        <w:rPr>
          <w:b/>
          <w:lang w:val="en-US"/>
        </w:rPr>
      </w:pPr>
    </w:p>
    <w:p w:rsidR="00424AA3" w:rsidRDefault="00424AA3" w:rsidP="00424AA3">
      <w:pPr>
        <w:ind w:left="708"/>
        <w:rPr>
          <w:lang w:val="en-US"/>
        </w:rPr>
      </w:pPr>
      <w:r>
        <w:rPr>
          <w:lang w:val="en-US"/>
        </w:rPr>
        <w:t>The decision to renew or re</w:t>
      </w:r>
      <w:r w:rsidR="005C7646">
        <w:rPr>
          <w:lang w:val="en-US"/>
        </w:rPr>
        <w:t>novate</w:t>
      </w:r>
      <w:r>
        <w:rPr>
          <w:lang w:val="en-US"/>
        </w:rPr>
        <w:t xml:space="preserve"> is mostly based upon the results from the structural and hydraulic review</w:t>
      </w:r>
      <w:r w:rsidR="005C7646">
        <w:rPr>
          <w:lang w:val="en-US"/>
        </w:rPr>
        <w:t xml:space="preserve"> together with the knowledge of process technologies typical for a particular season and the materials used. </w:t>
      </w:r>
    </w:p>
    <w:p w:rsidR="005C7646" w:rsidRDefault="005C7646" w:rsidP="00424AA3">
      <w:pPr>
        <w:ind w:left="708"/>
        <w:rPr>
          <w:lang w:val="en-US"/>
        </w:rPr>
      </w:pPr>
    </w:p>
    <w:p w:rsidR="00C55D10" w:rsidRDefault="005C7646" w:rsidP="00424AA3">
      <w:pPr>
        <w:ind w:left="708"/>
        <w:rPr>
          <w:lang w:val="en-US"/>
        </w:rPr>
      </w:pPr>
      <w:r>
        <w:rPr>
          <w:lang w:val="en-US"/>
        </w:rPr>
        <w:t xml:space="preserve">On the other hand the decision </w:t>
      </w:r>
      <w:r w:rsidR="00C55D10">
        <w:rPr>
          <w:lang w:val="en-US"/>
        </w:rPr>
        <w:t xml:space="preserve">to repair is the result of the search for existing values in substance implies in most cases the decision for a specific technology. Each individual case presents a catalogue of requirements, which must be fulfilled by the process applied. </w:t>
      </w:r>
    </w:p>
    <w:p w:rsidR="00C55D10" w:rsidRDefault="00C55D10" w:rsidP="00424AA3">
      <w:pPr>
        <w:ind w:left="708"/>
        <w:rPr>
          <w:lang w:val="en-US"/>
        </w:rPr>
      </w:pPr>
    </w:p>
    <w:p w:rsidR="00C55D10" w:rsidRDefault="00C55D10" w:rsidP="00424AA3">
      <w:pPr>
        <w:ind w:left="708"/>
        <w:rPr>
          <w:lang w:val="en-US"/>
        </w:rPr>
      </w:pPr>
      <w:r>
        <w:rPr>
          <w:lang w:val="en-US"/>
        </w:rPr>
        <w:t xml:space="preserve">These requirements can be generalized based upon the conditions – typically the kind of damage, age classification, materials – so that finally some typical and reoccurring problems remain. </w:t>
      </w:r>
    </w:p>
    <w:p w:rsidR="00C55D10" w:rsidRDefault="00C55D10" w:rsidP="00424AA3">
      <w:pPr>
        <w:ind w:left="708"/>
        <w:rPr>
          <w:lang w:val="en-US"/>
        </w:rPr>
      </w:pPr>
    </w:p>
    <w:p w:rsidR="00C55D10" w:rsidRDefault="00C55D10" w:rsidP="00424AA3">
      <w:pPr>
        <w:ind w:left="708"/>
        <w:rPr>
          <w:lang w:val="en-US"/>
        </w:rPr>
      </w:pPr>
      <w:r>
        <w:rPr>
          <w:lang w:val="en-US"/>
        </w:rPr>
        <w:t xml:space="preserve">The City of Bochum is facing – like many other communities in the region – the results of underground coal mining. Mining was done over 300 years (the last </w:t>
      </w:r>
      <w:r>
        <w:rPr>
          <w:lang w:val="en-US"/>
        </w:rPr>
        <w:lastRenderedPageBreak/>
        <w:t xml:space="preserve">coal mine in Bochum closed in 1973), but the unregulated mining close </w:t>
      </w:r>
      <w:r w:rsidR="00F24772">
        <w:rPr>
          <w:lang w:val="en-US"/>
        </w:rPr>
        <w:t>to</w:t>
      </w:r>
      <w:r>
        <w:rPr>
          <w:lang w:val="en-US"/>
        </w:rPr>
        <w:t xml:space="preserve"> the surface leads to</w:t>
      </w:r>
      <w:r w:rsidR="00F24772">
        <w:rPr>
          <w:lang w:val="en-US"/>
        </w:rPr>
        <w:t xml:space="preserve"> many instances of surface</w:t>
      </w:r>
      <w:r>
        <w:rPr>
          <w:lang w:val="en-US"/>
        </w:rPr>
        <w:t xml:space="preserve"> subsidence of quite a few meters. </w:t>
      </w:r>
    </w:p>
    <w:p w:rsidR="00F24772" w:rsidRDefault="00F24772" w:rsidP="00424AA3">
      <w:pPr>
        <w:ind w:left="708"/>
        <w:rPr>
          <w:lang w:val="en-US"/>
        </w:rPr>
      </w:pPr>
    </w:p>
    <w:p w:rsidR="00F24772" w:rsidRDefault="00F24772" w:rsidP="00424AA3">
      <w:pPr>
        <w:ind w:left="708"/>
        <w:rPr>
          <w:lang w:val="en-US"/>
        </w:rPr>
      </w:pPr>
    </w:p>
    <w:p w:rsidR="00F24772" w:rsidRDefault="009E6577" w:rsidP="00F24772">
      <w:pPr>
        <w:ind w:left="708"/>
        <w:jc w:val="center"/>
        <w:rPr>
          <w:lang w:val="en-US"/>
        </w:rPr>
      </w:pPr>
      <w:r>
        <w:rPr>
          <w:noProof/>
        </w:rPr>
        <w:drawing>
          <wp:inline distT="0" distB="0" distL="0" distR="0">
            <wp:extent cx="3576320" cy="2712720"/>
            <wp:effectExtent l="19050" t="0" r="5080" b="0"/>
            <wp:docPr id="25" name="Bild 25" descr="Janßen-Riss- und Scherbensanierung, Vor der Sanier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nßen-Riss- und Scherbensanierung, Vor der Sanierung-2"/>
                    <pic:cNvPicPr>
                      <a:picLocks noChangeAspect="1" noChangeArrowheads="1"/>
                    </pic:cNvPicPr>
                  </pic:nvPicPr>
                  <pic:blipFill>
                    <a:blip r:embed="rId15"/>
                    <a:srcRect/>
                    <a:stretch>
                      <a:fillRect/>
                    </a:stretch>
                  </pic:blipFill>
                  <pic:spPr bwMode="auto">
                    <a:xfrm>
                      <a:off x="0" y="0"/>
                      <a:ext cx="3576320" cy="2712720"/>
                    </a:xfrm>
                    <a:prstGeom prst="rect">
                      <a:avLst/>
                    </a:prstGeom>
                    <a:noFill/>
                    <a:ln w="9525">
                      <a:noFill/>
                      <a:miter lim="800000"/>
                      <a:headEnd/>
                      <a:tailEnd/>
                    </a:ln>
                  </pic:spPr>
                </pic:pic>
              </a:graphicData>
            </a:graphic>
          </wp:inline>
        </w:drawing>
      </w:r>
    </w:p>
    <w:p w:rsidR="00F24772" w:rsidRDefault="00F24772" w:rsidP="00F24772">
      <w:pPr>
        <w:ind w:left="708"/>
        <w:jc w:val="center"/>
        <w:rPr>
          <w:b/>
          <w:lang w:val="en-US"/>
        </w:rPr>
      </w:pPr>
      <w:r>
        <w:rPr>
          <w:b/>
          <w:lang w:val="en-US"/>
        </w:rPr>
        <w:t>Illustration 9: Shards</w:t>
      </w:r>
    </w:p>
    <w:p w:rsidR="00F24772" w:rsidRDefault="00F24772" w:rsidP="00F24772">
      <w:pPr>
        <w:ind w:left="708"/>
        <w:jc w:val="center"/>
        <w:rPr>
          <w:b/>
          <w:lang w:val="en-US"/>
        </w:rPr>
      </w:pPr>
    </w:p>
    <w:p w:rsidR="00F24772" w:rsidRDefault="00F24772" w:rsidP="00F24772">
      <w:pPr>
        <w:ind w:left="708"/>
        <w:rPr>
          <w:lang w:val="en-US"/>
        </w:rPr>
      </w:pPr>
    </w:p>
    <w:p w:rsidR="00F24772" w:rsidRDefault="00F24772" w:rsidP="00F24772">
      <w:pPr>
        <w:ind w:left="708"/>
        <w:rPr>
          <w:lang w:val="en-US"/>
        </w:rPr>
      </w:pPr>
      <w:r>
        <w:rPr>
          <w:lang w:val="en-US"/>
        </w:rPr>
        <w:t xml:space="preserve">Another major factor in for the condition of the sewer lines is the method used by many owners in the 60s, whereby the lateral connections were not drilled but “hammered” into the main. The space between the lateral line and the much too large opening was “closed and sealed” with bricks, bags of cement, or whatever else was available. Very often this resulted in cracks and shards especially with sewer lines made of clay. </w:t>
      </w:r>
    </w:p>
    <w:p w:rsidR="00F24772" w:rsidRDefault="00F24772" w:rsidP="00F24772">
      <w:pPr>
        <w:ind w:left="708"/>
        <w:rPr>
          <w:lang w:val="en-US"/>
        </w:rPr>
      </w:pPr>
    </w:p>
    <w:p w:rsidR="00F24772" w:rsidRDefault="00F24772" w:rsidP="00F24772">
      <w:pPr>
        <w:ind w:left="708"/>
        <w:rPr>
          <w:lang w:val="en-US"/>
        </w:rPr>
      </w:pPr>
      <w:r>
        <w:rPr>
          <w:lang w:val="en-US"/>
        </w:rPr>
        <w:t xml:space="preserve">The distribution of damages in the following graph shows the described problems and their dimension. Off-sets, cracks and shards and damaged laterals make up 79.5 % of the total damages. </w:t>
      </w:r>
    </w:p>
    <w:p w:rsidR="00F24772" w:rsidRDefault="00F24772" w:rsidP="00F24772">
      <w:pPr>
        <w:ind w:left="708"/>
        <w:rPr>
          <w:lang w:val="en-US"/>
        </w:rPr>
      </w:pPr>
    </w:p>
    <w:p w:rsidR="00F24772" w:rsidRDefault="00F24772" w:rsidP="00F24772">
      <w:pPr>
        <w:ind w:left="708"/>
        <w:rPr>
          <w:lang w:val="en-US"/>
        </w:rPr>
      </w:pPr>
      <w:r>
        <w:rPr>
          <w:lang w:val="en-US"/>
        </w:rPr>
        <w:t xml:space="preserve">Of course not every off-set can be connected to mining. </w:t>
      </w:r>
      <w:r w:rsidR="005B7EFA">
        <w:rPr>
          <w:lang w:val="en-US"/>
        </w:rPr>
        <w:t>Compaction when constructing the sewer line or other factors may have played a role. This also applies to damaged laterals or cracks and shards. Yet based upon video inspections a large proportion of these damages can be attributed to the causes mentioned above.</w:t>
      </w:r>
    </w:p>
    <w:p w:rsidR="005B7EFA" w:rsidRDefault="005B7EFA" w:rsidP="00F24772">
      <w:pPr>
        <w:ind w:left="708"/>
        <w:rPr>
          <w:lang w:val="en-US"/>
        </w:rPr>
      </w:pPr>
    </w:p>
    <w:p w:rsidR="005B7EFA" w:rsidRDefault="009E6577" w:rsidP="005B7EFA">
      <w:pPr>
        <w:ind w:left="708"/>
        <w:jc w:val="center"/>
        <w:rPr>
          <w:lang w:val="en-US"/>
        </w:rPr>
      </w:pPr>
      <w:r>
        <w:rPr>
          <w:noProof/>
        </w:rPr>
        <w:drawing>
          <wp:inline distT="0" distB="0" distL="0" distR="0">
            <wp:extent cx="2905760" cy="200152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2905760" cy="2001520"/>
                    </a:xfrm>
                    <a:prstGeom prst="rect">
                      <a:avLst/>
                    </a:prstGeom>
                    <a:noFill/>
                    <a:ln w="9525">
                      <a:noFill/>
                      <a:miter lim="800000"/>
                      <a:headEnd/>
                      <a:tailEnd/>
                    </a:ln>
                  </pic:spPr>
                </pic:pic>
              </a:graphicData>
            </a:graphic>
          </wp:inline>
        </w:drawing>
      </w:r>
    </w:p>
    <w:p w:rsidR="005B7EFA" w:rsidRDefault="005B7EFA" w:rsidP="005B7EFA">
      <w:pPr>
        <w:ind w:left="708"/>
        <w:jc w:val="center"/>
        <w:rPr>
          <w:lang w:val="en-US"/>
        </w:rPr>
      </w:pPr>
    </w:p>
    <w:p w:rsidR="005B7EFA" w:rsidRDefault="005B7EFA" w:rsidP="005B7EFA">
      <w:pPr>
        <w:ind w:left="708"/>
        <w:rPr>
          <w:lang w:val="en-US"/>
        </w:rPr>
      </w:pPr>
      <w:proofErr w:type="spellStart"/>
      <w:r>
        <w:rPr>
          <w:lang w:val="en-US"/>
        </w:rPr>
        <w:t>Stutzen</w:t>
      </w:r>
      <w:proofErr w:type="spellEnd"/>
      <w:r>
        <w:rPr>
          <w:lang w:val="en-US"/>
        </w:rPr>
        <w:t>/</w:t>
      </w:r>
      <w:proofErr w:type="spellStart"/>
      <w:r>
        <w:rPr>
          <w:lang w:val="en-US"/>
        </w:rPr>
        <w:t>Anschluss</w:t>
      </w:r>
      <w:proofErr w:type="spellEnd"/>
      <w:r>
        <w:rPr>
          <w:lang w:val="en-US"/>
        </w:rPr>
        <w:tab/>
      </w:r>
      <w:r>
        <w:rPr>
          <w:lang w:val="en-US"/>
        </w:rPr>
        <w:tab/>
        <w:t>=</w:t>
      </w:r>
      <w:r>
        <w:rPr>
          <w:lang w:val="en-US"/>
        </w:rPr>
        <w:tab/>
        <w:t>lateral / lateral connection</w:t>
      </w:r>
    </w:p>
    <w:p w:rsidR="005B7EFA" w:rsidRDefault="005B7EFA" w:rsidP="005B7EFA">
      <w:pPr>
        <w:ind w:left="708"/>
        <w:rPr>
          <w:lang w:val="en-US"/>
        </w:rPr>
      </w:pPr>
      <w:proofErr w:type="spellStart"/>
      <w:r>
        <w:rPr>
          <w:lang w:val="en-US"/>
        </w:rPr>
        <w:t>Verschiedene</w:t>
      </w:r>
      <w:proofErr w:type="spellEnd"/>
      <w:r>
        <w:rPr>
          <w:lang w:val="en-US"/>
        </w:rPr>
        <w:tab/>
      </w:r>
      <w:r>
        <w:rPr>
          <w:lang w:val="en-US"/>
        </w:rPr>
        <w:tab/>
      </w:r>
      <w:r>
        <w:rPr>
          <w:lang w:val="en-US"/>
        </w:rPr>
        <w:tab/>
        <w:t>=</w:t>
      </w:r>
      <w:r>
        <w:rPr>
          <w:lang w:val="en-US"/>
        </w:rPr>
        <w:tab/>
        <w:t>miscellaneous</w:t>
      </w:r>
    </w:p>
    <w:p w:rsidR="005B7EFA" w:rsidRDefault="005B7EFA" w:rsidP="005B7EFA">
      <w:pPr>
        <w:ind w:left="708"/>
        <w:rPr>
          <w:lang w:val="en-US"/>
        </w:rPr>
      </w:pPr>
      <w:proofErr w:type="spellStart"/>
      <w:r>
        <w:rPr>
          <w:lang w:val="en-US"/>
        </w:rPr>
        <w:t>Lageabweichung</w:t>
      </w:r>
      <w:proofErr w:type="spellEnd"/>
      <w:r>
        <w:rPr>
          <w:lang w:val="en-US"/>
        </w:rPr>
        <w:tab/>
      </w:r>
      <w:r>
        <w:rPr>
          <w:lang w:val="en-US"/>
        </w:rPr>
        <w:tab/>
        <w:t>=</w:t>
      </w:r>
      <w:r>
        <w:rPr>
          <w:lang w:val="en-US"/>
        </w:rPr>
        <w:tab/>
        <w:t>off-sets</w:t>
      </w:r>
    </w:p>
    <w:p w:rsidR="005B7EFA" w:rsidRDefault="005B7EFA" w:rsidP="005B7EFA">
      <w:pPr>
        <w:ind w:left="708"/>
        <w:rPr>
          <w:lang w:val="en-US"/>
        </w:rPr>
      </w:pPr>
      <w:proofErr w:type="spellStart"/>
      <w:r>
        <w:rPr>
          <w:lang w:val="en-US"/>
        </w:rPr>
        <w:t>Risse</w:t>
      </w:r>
      <w:proofErr w:type="spellEnd"/>
      <w:r>
        <w:rPr>
          <w:lang w:val="en-US"/>
        </w:rPr>
        <w:t>/</w:t>
      </w:r>
      <w:proofErr w:type="spellStart"/>
      <w:r>
        <w:rPr>
          <w:lang w:val="en-US"/>
        </w:rPr>
        <w:t>Scherben</w:t>
      </w:r>
      <w:proofErr w:type="spellEnd"/>
      <w:r>
        <w:rPr>
          <w:lang w:val="en-US"/>
        </w:rPr>
        <w:tab/>
      </w:r>
      <w:r>
        <w:rPr>
          <w:lang w:val="en-US"/>
        </w:rPr>
        <w:tab/>
        <w:t>=</w:t>
      </w:r>
      <w:r>
        <w:rPr>
          <w:lang w:val="en-US"/>
        </w:rPr>
        <w:tab/>
        <w:t>cracks/shards</w:t>
      </w:r>
    </w:p>
    <w:p w:rsidR="005B7EFA" w:rsidRDefault="005B7EFA" w:rsidP="005B7EFA">
      <w:pPr>
        <w:ind w:left="708"/>
        <w:rPr>
          <w:lang w:val="en-US"/>
        </w:rPr>
      </w:pPr>
    </w:p>
    <w:p w:rsidR="005B7EFA" w:rsidRDefault="005B7EFA" w:rsidP="005B7EFA">
      <w:pPr>
        <w:ind w:left="708"/>
        <w:rPr>
          <w:lang w:val="en-US"/>
        </w:rPr>
      </w:pPr>
    </w:p>
    <w:p w:rsidR="005B7EFA" w:rsidRDefault="005B7EFA" w:rsidP="005B7EFA">
      <w:pPr>
        <w:ind w:left="708"/>
        <w:jc w:val="center"/>
        <w:rPr>
          <w:b/>
          <w:lang w:val="en-US"/>
        </w:rPr>
      </w:pPr>
      <w:r>
        <w:rPr>
          <w:b/>
          <w:lang w:val="en-US"/>
        </w:rPr>
        <w:t>Illustration 10: Kinds of damages in the Bochum sewer grid</w:t>
      </w:r>
    </w:p>
    <w:p w:rsidR="005B7EFA" w:rsidRDefault="005B7EFA" w:rsidP="005B7EFA">
      <w:pPr>
        <w:ind w:left="708"/>
        <w:jc w:val="center"/>
        <w:rPr>
          <w:b/>
          <w:lang w:val="en-US"/>
        </w:rPr>
      </w:pPr>
    </w:p>
    <w:p w:rsidR="007363BC" w:rsidRDefault="005B7EFA" w:rsidP="005B7EFA">
      <w:pPr>
        <w:ind w:left="708"/>
        <w:rPr>
          <w:lang w:val="en-US"/>
        </w:rPr>
      </w:pPr>
      <w:r>
        <w:rPr>
          <w:lang w:val="en-US"/>
        </w:rPr>
        <w:t xml:space="preserve">The sewer grid in Essen shows in addition to the typical mining damages and the “hammered” lateral connections another wide spread problem: </w:t>
      </w:r>
      <w:r w:rsidR="007363BC">
        <w:rPr>
          <w:lang w:val="en-US"/>
        </w:rPr>
        <w:t>There are a number of “branched-off lines, which have not been covered properly. These covers (like rocks) move over time and often represent the only weak spot in an otherwise high substance value pipe section.</w:t>
      </w:r>
    </w:p>
    <w:p w:rsidR="007363BC" w:rsidRDefault="007363BC" w:rsidP="005B7EFA">
      <w:pPr>
        <w:ind w:left="708"/>
        <w:rPr>
          <w:lang w:val="en-US"/>
        </w:rPr>
      </w:pPr>
    </w:p>
    <w:p w:rsidR="007363BC" w:rsidRDefault="009E6577" w:rsidP="007363BC">
      <w:pPr>
        <w:ind w:left="708"/>
        <w:jc w:val="center"/>
        <w:rPr>
          <w:lang w:val="en-US"/>
        </w:rPr>
      </w:pPr>
      <w:r>
        <w:rPr>
          <w:noProof/>
        </w:rPr>
        <w:drawing>
          <wp:inline distT="0" distB="0" distL="0" distR="0">
            <wp:extent cx="3495040" cy="2794000"/>
            <wp:effectExtent l="19050" t="0" r="0" b="0"/>
            <wp:docPr id="31" name="Bild 31" descr="Janßen-Stutzensanierung, Vor der San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nßen-Stutzensanierung, Vor der Sanierung"/>
                    <pic:cNvPicPr>
                      <a:picLocks noChangeAspect="1" noChangeArrowheads="1"/>
                    </pic:cNvPicPr>
                  </pic:nvPicPr>
                  <pic:blipFill>
                    <a:blip r:embed="rId17"/>
                    <a:srcRect/>
                    <a:stretch>
                      <a:fillRect/>
                    </a:stretch>
                  </pic:blipFill>
                  <pic:spPr bwMode="auto">
                    <a:xfrm>
                      <a:off x="0" y="0"/>
                      <a:ext cx="3495040" cy="2794000"/>
                    </a:xfrm>
                    <a:prstGeom prst="rect">
                      <a:avLst/>
                    </a:prstGeom>
                    <a:noFill/>
                    <a:ln w="9525">
                      <a:noFill/>
                      <a:miter lim="800000"/>
                      <a:headEnd/>
                      <a:tailEnd/>
                    </a:ln>
                  </pic:spPr>
                </pic:pic>
              </a:graphicData>
            </a:graphic>
          </wp:inline>
        </w:drawing>
      </w:r>
    </w:p>
    <w:p w:rsidR="007363BC" w:rsidRDefault="007363BC" w:rsidP="007363BC">
      <w:pPr>
        <w:ind w:left="708"/>
        <w:jc w:val="center"/>
        <w:rPr>
          <w:b/>
          <w:lang w:val="en-US"/>
        </w:rPr>
      </w:pPr>
      <w:r>
        <w:rPr>
          <w:b/>
          <w:lang w:val="en-US"/>
        </w:rPr>
        <w:t>Illustration 11: Damaged lateral connection</w:t>
      </w:r>
    </w:p>
    <w:p w:rsidR="007363BC" w:rsidRDefault="007363BC" w:rsidP="007363BC">
      <w:pPr>
        <w:ind w:left="708"/>
        <w:jc w:val="center"/>
        <w:rPr>
          <w:b/>
          <w:lang w:val="en-US"/>
        </w:rPr>
      </w:pPr>
    </w:p>
    <w:p w:rsidR="007363BC" w:rsidRPr="007363BC" w:rsidRDefault="007363BC" w:rsidP="007363BC">
      <w:pPr>
        <w:ind w:left="708"/>
        <w:jc w:val="center"/>
        <w:rPr>
          <w:b/>
          <w:lang w:val="en-US"/>
        </w:rPr>
      </w:pPr>
    </w:p>
    <w:p w:rsidR="005B7EFA" w:rsidRDefault="005B7EFA" w:rsidP="005B7EFA">
      <w:pPr>
        <w:ind w:left="708"/>
        <w:rPr>
          <w:b/>
          <w:lang w:val="en-US"/>
        </w:rPr>
      </w:pPr>
      <w:r>
        <w:rPr>
          <w:b/>
          <w:lang w:val="en-US"/>
        </w:rPr>
        <w:t xml:space="preserve">5 </w:t>
      </w:r>
      <w:r w:rsidR="007363BC">
        <w:rPr>
          <w:b/>
          <w:lang w:val="en-US"/>
        </w:rPr>
        <w:t xml:space="preserve"> </w:t>
      </w:r>
      <w:r>
        <w:rPr>
          <w:b/>
          <w:lang w:val="en-US"/>
        </w:rPr>
        <w:t>Technical Solutions</w:t>
      </w:r>
    </w:p>
    <w:p w:rsidR="007363BC" w:rsidRDefault="007363BC" w:rsidP="005B7EFA">
      <w:pPr>
        <w:ind w:left="708"/>
        <w:rPr>
          <w:b/>
          <w:lang w:val="en-US"/>
        </w:rPr>
      </w:pPr>
    </w:p>
    <w:p w:rsidR="007363BC" w:rsidRDefault="007363BC" w:rsidP="005B7EFA">
      <w:pPr>
        <w:ind w:left="708"/>
        <w:rPr>
          <w:lang w:val="en-US"/>
        </w:rPr>
      </w:pPr>
      <w:r>
        <w:rPr>
          <w:lang w:val="en-US"/>
        </w:rPr>
        <w:t>The search for a technical solution is guided by the following considerations:</w:t>
      </w:r>
    </w:p>
    <w:p w:rsidR="007363BC" w:rsidRDefault="007363BC" w:rsidP="005B7EFA">
      <w:pPr>
        <w:ind w:left="708"/>
        <w:rPr>
          <w:lang w:val="en-US"/>
        </w:rPr>
      </w:pPr>
    </w:p>
    <w:p w:rsidR="007363BC" w:rsidRDefault="007363BC" w:rsidP="007363BC">
      <w:pPr>
        <w:pStyle w:val="Listenabsatz"/>
        <w:numPr>
          <w:ilvl w:val="0"/>
          <w:numId w:val="6"/>
        </w:numPr>
        <w:rPr>
          <w:lang w:val="en-US"/>
        </w:rPr>
      </w:pPr>
      <w:r>
        <w:rPr>
          <w:lang w:val="en-US"/>
        </w:rPr>
        <w:t>The cause of a large number of damages , which have to be repaired in an open trench were in a disrupted pipe/soil system</w:t>
      </w:r>
      <w:r>
        <w:rPr>
          <w:lang w:val="en-US"/>
        </w:rPr>
        <w:br/>
      </w:r>
    </w:p>
    <w:p w:rsidR="007363BC" w:rsidRDefault="007363BC" w:rsidP="007363BC">
      <w:pPr>
        <w:pStyle w:val="Listenabsatz"/>
        <w:numPr>
          <w:ilvl w:val="0"/>
          <w:numId w:val="6"/>
        </w:numPr>
        <w:rPr>
          <w:lang w:val="en-US"/>
        </w:rPr>
      </w:pPr>
      <w:r>
        <w:rPr>
          <w:lang w:val="en-US"/>
        </w:rPr>
        <w:t>A structural calculation of repair technologies is only possible after conducting respective reviews because of the lack of knowledge of the existing pipe/soil system</w:t>
      </w:r>
      <w:r>
        <w:rPr>
          <w:lang w:val="en-US"/>
        </w:rPr>
        <w:br/>
      </w:r>
    </w:p>
    <w:p w:rsidR="007363BC" w:rsidRDefault="007363BC" w:rsidP="007363BC">
      <w:pPr>
        <w:pStyle w:val="Listenabsatz"/>
        <w:numPr>
          <w:ilvl w:val="0"/>
          <w:numId w:val="6"/>
        </w:numPr>
        <w:rPr>
          <w:lang w:val="en-US"/>
        </w:rPr>
      </w:pPr>
      <w:r>
        <w:rPr>
          <w:lang w:val="en-US"/>
        </w:rPr>
        <w:t>Such reviews in order to gain the necessary data can render any repair method commercially non-viable.</w:t>
      </w:r>
    </w:p>
    <w:p w:rsidR="007363BC" w:rsidRDefault="007363BC" w:rsidP="007363BC">
      <w:pPr>
        <w:rPr>
          <w:lang w:val="en-US"/>
        </w:rPr>
      </w:pPr>
    </w:p>
    <w:p w:rsidR="007363BC" w:rsidRDefault="007363BC" w:rsidP="007363BC">
      <w:pPr>
        <w:rPr>
          <w:lang w:val="en-US"/>
        </w:rPr>
      </w:pPr>
    </w:p>
    <w:p w:rsidR="00B75FE2" w:rsidRDefault="00B75FE2" w:rsidP="007363BC">
      <w:pPr>
        <w:rPr>
          <w:lang w:val="en-US"/>
        </w:rPr>
      </w:pPr>
      <w:r>
        <w:rPr>
          <w:lang w:val="en-US"/>
        </w:rPr>
        <w:lastRenderedPageBreak/>
        <w:t xml:space="preserve">The potential technologies should therefore be capable of improving the pipe/soil system and offer a high guarantee for tightness because of their technical procedure and process. In addition a wide range of application ought to be possible. </w:t>
      </w:r>
    </w:p>
    <w:p w:rsidR="00B75FE2" w:rsidRDefault="00B75FE2" w:rsidP="007363BC">
      <w:pPr>
        <w:rPr>
          <w:lang w:val="en-US"/>
        </w:rPr>
      </w:pPr>
    </w:p>
    <w:p w:rsidR="00B75FE2" w:rsidRDefault="00B75FE2" w:rsidP="007363BC">
      <w:pPr>
        <w:rPr>
          <w:lang w:val="en-US"/>
        </w:rPr>
      </w:pPr>
      <w:r>
        <w:rPr>
          <w:lang w:val="en-US"/>
        </w:rPr>
        <w:t xml:space="preserve">In the way to retain the substance value and in view of the desired tightness of the pipe-system – two points of the highest priority for the grid owner – injection processes (here “Janssen Process”) have been used in both grids. </w:t>
      </w:r>
    </w:p>
    <w:p w:rsidR="00B75FE2" w:rsidRDefault="00B75FE2" w:rsidP="007363BC">
      <w:pPr>
        <w:rPr>
          <w:lang w:val="en-US"/>
        </w:rPr>
      </w:pPr>
    </w:p>
    <w:p w:rsidR="00B75FE2" w:rsidRDefault="009E6577" w:rsidP="00B75FE2">
      <w:pPr>
        <w:jc w:val="center"/>
        <w:rPr>
          <w:lang w:val="en-US"/>
        </w:rPr>
      </w:pPr>
      <w:r>
        <w:rPr>
          <w:noProof/>
        </w:rPr>
        <w:drawing>
          <wp:inline distT="0" distB="0" distL="0" distR="0">
            <wp:extent cx="5344160" cy="3779520"/>
            <wp:effectExtent l="19050" t="0" r="8890" b="0"/>
            <wp:docPr id="34" name="Bild 34" descr="JanssenProcessStutzenausgegr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nssenProcessStutzenausgegraben"/>
                    <pic:cNvPicPr>
                      <a:picLocks noChangeAspect="1" noChangeArrowheads="1"/>
                    </pic:cNvPicPr>
                  </pic:nvPicPr>
                  <pic:blipFill>
                    <a:blip r:embed="rId18"/>
                    <a:srcRect/>
                    <a:stretch>
                      <a:fillRect/>
                    </a:stretch>
                  </pic:blipFill>
                  <pic:spPr bwMode="auto">
                    <a:xfrm>
                      <a:off x="0" y="0"/>
                      <a:ext cx="5344160" cy="3779520"/>
                    </a:xfrm>
                    <a:prstGeom prst="rect">
                      <a:avLst/>
                    </a:prstGeom>
                    <a:noFill/>
                    <a:ln w="9525">
                      <a:noFill/>
                      <a:miter lim="800000"/>
                      <a:headEnd/>
                      <a:tailEnd/>
                    </a:ln>
                  </pic:spPr>
                </pic:pic>
              </a:graphicData>
            </a:graphic>
          </wp:inline>
        </w:drawing>
      </w:r>
    </w:p>
    <w:p w:rsidR="00B75FE2" w:rsidRDefault="00B75FE2" w:rsidP="00B75FE2">
      <w:pPr>
        <w:jc w:val="center"/>
        <w:rPr>
          <w:lang w:val="en-US"/>
        </w:rPr>
      </w:pPr>
    </w:p>
    <w:p w:rsidR="00B75FE2" w:rsidRDefault="00B75FE2" w:rsidP="00B75FE2">
      <w:pPr>
        <w:jc w:val="center"/>
        <w:rPr>
          <w:b/>
          <w:lang w:val="en-US"/>
        </w:rPr>
      </w:pPr>
      <w:r>
        <w:rPr>
          <w:b/>
          <w:lang w:val="en-US"/>
        </w:rPr>
        <w:t>Illustration 12: Dug-out lateral connection after injection</w:t>
      </w:r>
    </w:p>
    <w:p w:rsidR="00B75FE2" w:rsidRDefault="00B75FE2" w:rsidP="00B75FE2">
      <w:pPr>
        <w:jc w:val="center"/>
        <w:rPr>
          <w:b/>
          <w:lang w:val="en-US"/>
        </w:rPr>
      </w:pPr>
    </w:p>
    <w:p w:rsidR="00B75FE2" w:rsidRDefault="00B75FE2" w:rsidP="00B75FE2">
      <w:pPr>
        <w:rPr>
          <w:lang w:val="en-US"/>
        </w:rPr>
      </w:pPr>
      <w:r w:rsidRPr="00B75FE2">
        <w:rPr>
          <w:lang w:val="en-US"/>
        </w:rPr>
        <w:t>Even without static and structural calculations and scientific evaluation we can state based upon experience, that the “Janssen Process” as a tool for the protection of the substance value</w:t>
      </w:r>
      <w:r>
        <w:rPr>
          <w:lang w:val="en-US"/>
        </w:rPr>
        <w:t xml:space="preserve"> has bee of great value for both grid owners. </w:t>
      </w:r>
    </w:p>
    <w:p w:rsidR="00B75FE2" w:rsidRDefault="00B75FE2" w:rsidP="00B75FE2">
      <w:pPr>
        <w:rPr>
          <w:lang w:val="en-US"/>
        </w:rPr>
      </w:pPr>
    </w:p>
    <w:p w:rsidR="00B75FE2" w:rsidRDefault="005836F3" w:rsidP="00B75FE2">
      <w:pPr>
        <w:rPr>
          <w:lang w:val="en-US"/>
        </w:rPr>
      </w:pPr>
      <w:r>
        <w:rPr>
          <w:lang w:val="en-US"/>
        </w:rPr>
        <w:t xml:space="preserve">Over more than 10 years Essen City Works have had excellent results with thousands of injections using the Janssen Process. The properties of the stabilized pipe/soil system and the sealing characteristics have proven their worth.  It has been shown that the life expectancy of the repair is considerably longer because of the injection process, than could originally be expected on the basis of the evaluation standards. Even after 10 years the rehabilitation has shown to be successful, shown by TV inspection and the absence of expected sink holes. </w:t>
      </w:r>
    </w:p>
    <w:p w:rsidR="009C6635" w:rsidRDefault="009C6635" w:rsidP="00B75FE2">
      <w:pPr>
        <w:rPr>
          <w:lang w:val="en-US"/>
        </w:rPr>
      </w:pPr>
    </w:p>
    <w:p w:rsidR="009C6635" w:rsidRDefault="009C6635" w:rsidP="00B75FE2">
      <w:pPr>
        <w:rPr>
          <w:lang w:val="en-US"/>
        </w:rPr>
      </w:pPr>
      <w:r>
        <w:rPr>
          <w:lang w:val="en-US"/>
        </w:rPr>
        <w:t>In 2011 a total of approximately 10 km (6.2 miles) were rehabilitated in Bochum, with 60% being partial repairs.</w:t>
      </w:r>
    </w:p>
    <w:p w:rsidR="009C6635" w:rsidRDefault="009C6635" w:rsidP="00B75FE2">
      <w:pPr>
        <w:rPr>
          <w:lang w:val="en-US"/>
        </w:rPr>
      </w:pPr>
    </w:p>
    <w:p w:rsidR="009C6635" w:rsidRDefault="009C6635" w:rsidP="00B75FE2">
      <w:pPr>
        <w:rPr>
          <w:lang w:val="en-US"/>
        </w:rPr>
      </w:pPr>
      <w:r>
        <w:rPr>
          <w:lang w:val="en-US"/>
        </w:rPr>
        <w:t xml:space="preserve">For more than 15 years the City of Bochum has been using miscellaneous technologies for partial repairs, the Janssen injection process being one of them. There were many </w:t>
      </w:r>
      <w:r>
        <w:rPr>
          <w:lang w:val="en-US"/>
        </w:rPr>
        <w:lastRenderedPageBreak/>
        <w:t>different types of damages which were repaired like shards, missing wall pieces, cracks, in- and ex-filtration.</w:t>
      </w:r>
    </w:p>
    <w:p w:rsidR="009C6635" w:rsidRDefault="009C6635" w:rsidP="00B75FE2">
      <w:pPr>
        <w:rPr>
          <w:lang w:val="en-US"/>
        </w:rPr>
      </w:pPr>
    </w:p>
    <w:p w:rsidR="009C6635" w:rsidRDefault="009C6635" w:rsidP="00B75FE2">
      <w:pPr>
        <w:rPr>
          <w:lang w:val="en-US"/>
        </w:rPr>
      </w:pPr>
      <w:r>
        <w:rPr>
          <w:lang w:val="en-US"/>
        </w:rPr>
        <w:t>Sink holes, where soil gets into the sewer and which cause holes in the street or a lateral connection</w:t>
      </w:r>
      <w:r w:rsidR="00252C58">
        <w:rPr>
          <w:lang w:val="en-US"/>
        </w:rPr>
        <w:t xml:space="preserve"> with voids behind it – identified by </w:t>
      </w:r>
      <w:proofErr w:type="spellStart"/>
      <w:r w:rsidR="00252C58">
        <w:rPr>
          <w:lang w:val="en-US"/>
        </w:rPr>
        <w:t>cctv</w:t>
      </w:r>
      <w:proofErr w:type="spellEnd"/>
      <w:r w:rsidR="00252C58">
        <w:rPr>
          <w:lang w:val="en-US"/>
        </w:rPr>
        <w:t xml:space="preserve"> inspection, or cracks and leaking joints make a partial repair inevitable. </w:t>
      </w:r>
      <w:r w:rsidR="00CE5696">
        <w:rPr>
          <w:lang w:val="en-US"/>
        </w:rPr>
        <w:t xml:space="preserve">The inspector decides which process to use on the basis of the actual damage. A sink hole caused by a leaking lateral or a void around a lateral connection requires the stabilization and sealing of the soil/pipe system. It is important to fill and seal the void and the lateral connection as quickly and effectively as possible and to rebuild the road surface, so that traffic can flow again. Our </w:t>
      </w:r>
      <w:r w:rsidR="000E3BC8">
        <w:rPr>
          <w:lang w:val="en-US"/>
        </w:rPr>
        <w:t>practical</w:t>
      </w:r>
      <w:r w:rsidR="00CE5696">
        <w:rPr>
          <w:lang w:val="en-US"/>
        </w:rPr>
        <w:t xml:space="preserve"> experience shows that structural safety and integrity has always been provided. </w:t>
      </w:r>
    </w:p>
    <w:p w:rsidR="00CE5696" w:rsidRDefault="00CE5696" w:rsidP="00B75FE2">
      <w:pPr>
        <w:rPr>
          <w:lang w:val="en-US"/>
        </w:rPr>
      </w:pPr>
    </w:p>
    <w:p w:rsidR="00CE5696" w:rsidRDefault="009E6577" w:rsidP="00CE5696">
      <w:pPr>
        <w:jc w:val="center"/>
        <w:rPr>
          <w:lang w:val="en-US"/>
        </w:rPr>
      </w:pPr>
      <w:r>
        <w:rPr>
          <w:rFonts w:cs="Arial"/>
          <w:noProof/>
        </w:rPr>
        <w:drawing>
          <wp:inline distT="0" distB="0" distL="0" distR="0">
            <wp:extent cx="3403600" cy="2621280"/>
            <wp:effectExtent l="19050" t="0" r="6350" b="0"/>
            <wp:docPr id="37" name="Bild 37" descr="Janßen-Riss- und Scherbensanierung, Nach der San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nßen-Riss- und Scherbensanierung, Nach der Sanierung"/>
                    <pic:cNvPicPr>
                      <a:picLocks noChangeAspect="1" noChangeArrowheads="1"/>
                    </pic:cNvPicPr>
                  </pic:nvPicPr>
                  <pic:blipFill>
                    <a:blip r:embed="rId19"/>
                    <a:srcRect/>
                    <a:stretch>
                      <a:fillRect/>
                    </a:stretch>
                  </pic:blipFill>
                  <pic:spPr bwMode="auto">
                    <a:xfrm>
                      <a:off x="0" y="0"/>
                      <a:ext cx="3403600" cy="2621280"/>
                    </a:xfrm>
                    <a:prstGeom prst="rect">
                      <a:avLst/>
                    </a:prstGeom>
                    <a:noFill/>
                    <a:ln w="9525">
                      <a:noFill/>
                      <a:miter lim="800000"/>
                      <a:headEnd/>
                      <a:tailEnd/>
                    </a:ln>
                  </pic:spPr>
                </pic:pic>
              </a:graphicData>
            </a:graphic>
          </wp:inline>
        </w:drawing>
      </w:r>
    </w:p>
    <w:p w:rsidR="00CE5696" w:rsidRDefault="00CE5696" w:rsidP="00CE5696">
      <w:pPr>
        <w:jc w:val="center"/>
        <w:rPr>
          <w:b/>
          <w:lang w:val="en-US"/>
        </w:rPr>
      </w:pPr>
      <w:r>
        <w:rPr>
          <w:b/>
          <w:lang w:val="en-US"/>
        </w:rPr>
        <w:t>Illustration 13: Post Point Repair</w:t>
      </w:r>
    </w:p>
    <w:p w:rsidR="00CE5696" w:rsidRDefault="00CE5696" w:rsidP="00CE5696">
      <w:pPr>
        <w:jc w:val="center"/>
        <w:rPr>
          <w:b/>
          <w:lang w:val="en-US"/>
        </w:rPr>
      </w:pPr>
    </w:p>
    <w:p w:rsidR="00790A8B" w:rsidRDefault="00CE5696" w:rsidP="00CE5696">
      <w:pPr>
        <w:rPr>
          <w:lang w:val="en-US"/>
        </w:rPr>
      </w:pPr>
      <w:r>
        <w:rPr>
          <w:lang w:val="en-US"/>
        </w:rPr>
        <w:t>When finding a singular damage classified as 0 or 1 in a section</w:t>
      </w:r>
      <w:r w:rsidR="00790A8B">
        <w:rPr>
          <w:lang w:val="en-US"/>
        </w:rPr>
        <w:t>,</w:t>
      </w:r>
      <w:r>
        <w:rPr>
          <w:lang w:val="en-US"/>
        </w:rPr>
        <w:t xml:space="preserve"> which is otherwise intact, a partial repair is most of the time sufficient. Here too the choice of the rehabilitation process is determined by the appearance of the ac</w:t>
      </w:r>
      <w:r w:rsidR="00790A8B">
        <w:rPr>
          <w:lang w:val="en-US"/>
        </w:rPr>
        <w:t>tual damage and its s</w:t>
      </w:r>
      <w:r>
        <w:rPr>
          <w:lang w:val="en-US"/>
        </w:rPr>
        <w:t>urroundings</w:t>
      </w:r>
      <w:r w:rsidR="00790A8B">
        <w:rPr>
          <w:lang w:val="en-US"/>
        </w:rPr>
        <w:t xml:space="preserve"> as well. In case of suspected visible voids Bochum decides to inject.</w:t>
      </w:r>
    </w:p>
    <w:p w:rsidR="00790A8B" w:rsidRDefault="00790A8B" w:rsidP="00CE5696">
      <w:pPr>
        <w:rPr>
          <w:lang w:val="en-US"/>
        </w:rPr>
      </w:pPr>
    </w:p>
    <w:p w:rsidR="00790A8B" w:rsidRDefault="00790A8B" w:rsidP="00CE5696">
      <w:pPr>
        <w:rPr>
          <w:lang w:val="en-US"/>
        </w:rPr>
      </w:pPr>
      <w:r>
        <w:rPr>
          <w:lang w:val="en-US"/>
        </w:rPr>
        <w:t>The range of applications is very wide. In some individual cases other methods are used as well. Yet the limitations of the Janssen Process compared to other technologies are very small. In our experience similar results in sealing and stabilizing the soil/pipe system  cannot be achieved with any other technology.</w:t>
      </w:r>
    </w:p>
    <w:p w:rsidR="00790A8B" w:rsidRDefault="00790A8B" w:rsidP="00CE5696">
      <w:pPr>
        <w:rPr>
          <w:lang w:val="en-US"/>
        </w:rPr>
      </w:pPr>
    </w:p>
    <w:p w:rsidR="00790A8B" w:rsidRDefault="00790A8B" w:rsidP="00CE5696">
      <w:pPr>
        <w:rPr>
          <w:lang w:val="en-US"/>
        </w:rPr>
      </w:pPr>
    </w:p>
    <w:p w:rsidR="00790A8B" w:rsidRDefault="009E6577" w:rsidP="00790A8B">
      <w:pPr>
        <w:jc w:val="center"/>
        <w:rPr>
          <w:lang w:val="en-US"/>
        </w:rPr>
      </w:pPr>
      <w:r>
        <w:rPr>
          <w:rFonts w:cs="Arial"/>
          <w:noProof/>
        </w:rPr>
        <w:lastRenderedPageBreak/>
        <w:drawing>
          <wp:inline distT="0" distB="0" distL="0" distR="0">
            <wp:extent cx="3261360" cy="2631440"/>
            <wp:effectExtent l="19050" t="0" r="0" b="0"/>
            <wp:docPr id="40" name="Bild 40" descr="Janßen-Stutzensaneirung, Nach der San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nßen-Stutzensaneirung, Nach der Sanierung"/>
                    <pic:cNvPicPr>
                      <a:picLocks noChangeAspect="1" noChangeArrowheads="1"/>
                    </pic:cNvPicPr>
                  </pic:nvPicPr>
                  <pic:blipFill>
                    <a:blip r:embed="rId20"/>
                    <a:srcRect/>
                    <a:stretch>
                      <a:fillRect/>
                    </a:stretch>
                  </pic:blipFill>
                  <pic:spPr bwMode="auto">
                    <a:xfrm>
                      <a:off x="0" y="0"/>
                      <a:ext cx="3261360" cy="2631440"/>
                    </a:xfrm>
                    <a:prstGeom prst="rect">
                      <a:avLst/>
                    </a:prstGeom>
                    <a:noFill/>
                    <a:ln w="9525">
                      <a:noFill/>
                      <a:miter lim="800000"/>
                      <a:headEnd/>
                      <a:tailEnd/>
                    </a:ln>
                  </pic:spPr>
                </pic:pic>
              </a:graphicData>
            </a:graphic>
          </wp:inline>
        </w:drawing>
      </w:r>
    </w:p>
    <w:p w:rsidR="009E6577" w:rsidRDefault="009E6577" w:rsidP="00790A8B">
      <w:pPr>
        <w:jc w:val="center"/>
        <w:rPr>
          <w:lang w:val="en-US"/>
        </w:rPr>
      </w:pPr>
    </w:p>
    <w:p w:rsidR="00790A8B" w:rsidRDefault="00790A8B" w:rsidP="00790A8B">
      <w:pPr>
        <w:jc w:val="center"/>
        <w:rPr>
          <w:b/>
          <w:lang w:val="en-US"/>
        </w:rPr>
      </w:pPr>
      <w:r>
        <w:rPr>
          <w:b/>
          <w:lang w:val="en-US"/>
        </w:rPr>
        <w:t>Illustration 14: Post Repair Lateral Connection</w:t>
      </w:r>
    </w:p>
    <w:p w:rsidR="00790A8B" w:rsidRDefault="00790A8B" w:rsidP="00790A8B">
      <w:pPr>
        <w:jc w:val="center"/>
        <w:rPr>
          <w:b/>
          <w:lang w:val="en-US"/>
        </w:rPr>
      </w:pPr>
    </w:p>
    <w:p w:rsidR="00790A8B" w:rsidRDefault="00790A8B" w:rsidP="00790A8B">
      <w:pPr>
        <w:rPr>
          <w:lang w:val="en-US"/>
        </w:rPr>
      </w:pPr>
    </w:p>
    <w:p w:rsidR="00790A8B" w:rsidRDefault="00790A8B" w:rsidP="00790A8B">
      <w:pPr>
        <w:rPr>
          <w:b/>
          <w:lang w:val="en-US"/>
        </w:rPr>
      </w:pPr>
      <w:r>
        <w:rPr>
          <w:b/>
          <w:lang w:val="en-US"/>
        </w:rPr>
        <w:t>6 Summary</w:t>
      </w:r>
    </w:p>
    <w:p w:rsidR="00790A8B" w:rsidRDefault="00790A8B" w:rsidP="00790A8B">
      <w:pPr>
        <w:rPr>
          <w:b/>
          <w:lang w:val="en-US"/>
        </w:rPr>
      </w:pPr>
    </w:p>
    <w:p w:rsidR="00790A8B" w:rsidRDefault="00790A8B" w:rsidP="00790A8B">
      <w:pPr>
        <w:rPr>
          <w:lang w:val="en-US"/>
        </w:rPr>
      </w:pPr>
      <w:r>
        <w:rPr>
          <w:lang w:val="en-US"/>
        </w:rPr>
        <w:t xml:space="preserve">The Janssen Injection Process has become for both grid owners a very important </w:t>
      </w:r>
      <w:r w:rsidR="008F5B84">
        <w:rPr>
          <w:lang w:val="en-US"/>
        </w:rPr>
        <w:t xml:space="preserve">component for the realization of the rehabilitation strategies due to its very good technical life expectancy, the practically unlimited range of application and the excellent performance in conjunction the wide range of experience gained over the past 10 – 15 years. </w:t>
      </w:r>
    </w:p>
    <w:p w:rsidR="008F5B84" w:rsidRDefault="008F5B84" w:rsidP="00790A8B">
      <w:pPr>
        <w:rPr>
          <w:lang w:val="en-US"/>
        </w:rPr>
      </w:pPr>
    </w:p>
    <w:p w:rsidR="008F5B84" w:rsidRDefault="008F5B84" w:rsidP="00790A8B">
      <w:pPr>
        <w:rPr>
          <w:lang w:val="en-US"/>
        </w:rPr>
      </w:pPr>
      <w:r>
        <w:rPr>
          <w:lang w:val="en-US"/>
        </w:rPr>
        <w:t xml:space="preserve">Partial repairs are indispensable. Which method to use is a result of the actual damage and lies in the responsibility of the decider. Experience along with </w:t>
      </w:r>
      <w:r w:rsidR="000E3BC8">
        <w:rPr>
          <w:lang w:val="en-US"/>
        </w:rPr>
        <w:t>judgment</w:t>
      </w:r>
      <w:r>
        <w:rPr>
          <w:lang w:val="en-US"/>
        </w:rPr>
        <w:t xml:space="preserve"> based upon technical know-how are the basis of such decisions.</w:t>
      </w:r>
    </w:p>
    <w:p w:rsidR="008F5B84" w:rsidRDefault="008F5B84" w:rsidP="00790A8B">
      <w:pPr>
        <w:rPr>
          <w:lang w:val="en-US"/>
        </w:rPr>
      </w:pPr>
    </w:p>
    <w:p w:rsidR="008F5B84" w:rsidRDefault="008F5B84" w:rsidP="00790A8B">
      <w:pPr>
        <w:rPr>
          <w:lang w:val="en-US"/>
        </w:rPr>
      </w:pPr>
      <w:r>
        <w:rPr>
          <w:lang w:val="en-US"/>
        </w:rPr>
        <w:t xml:space="preserve">There is only operating experience </w:t>
      </w:r>
      <w:r w:rsidR="000E3BC8">
        <w:rPr>
          <w:lang w:val="en-US"/>
        </w:rPr>
        <w:t xml:space="preserve">and individual case results </w:t>
      </w:r>
      <w:r>
        <w:rPr>
          <w:lang w:val="en-US"/>
        </w:rPr>
        <w:t xml:space="preserve">for repair technologies on top of DIBT certification, IKT and material testing </w:t>
      </w:r>
      <w:r w:rsidR="000E3BC8">
        <w:rPr>
          <w:lang w:val="en-US"/>
        </w:rPr>
        <w:t xml:space="preserve">by test labs. Generally valid scientific conclusions on the repair technologies available in the market today gained in-situ do not exist. The practical use in the grids of Essen and Bochum over the past 10 respectively 15 years allow the statement that there has been a long-term proof of the viability of the Janssen Injection Process, which could be wished for </w:t>
      </w:r>
      <w:proofErr w:type="spellStart"/>
      <w:r w:rsidR="000E3BC8">
        <w:rPr>
          <w:lang w:val="en-US"/>
        </w:rPr>
        <w:t>for</w:t>
      </w:r>
      <w:proofErr w:type="spellEnd"/>
      <w:r w:rsidR="000E3BC8">
        <w:rPr>
          <w:lang w:val="en-US"/>
        </w:rPr>
        <w:t xml:space="preserve"> many other technologies.</w:t>
      </w:r>
    </w:p>
    <w:p w:rsidR="000E3BC8" w:rsidRDefault="000E3BC8" w:rsidP="00790A8B">
      <w:pPr>
        <w:rPr>
          <w:lang w:val="en-US"/>
        </w:rPr>
      </w:pPr>
    </w:p>
    <w:p w:rsidR="000E3BC8" w:rsidRDefault="000E3BC8" w:rsidP="00790A8B">
      <w:pPr>
        <w:rPr>
          <w:lang w:val="en-US"/>
        </w:rPr>
      </w:pPr>
      <w:r>
        <w:rPr>
          <w:lang w:val="en-US"/>
        </w:rPr>
        <w:t>Sources:</w:t>
      </w:r>
    </w:p>
    <w:p w:rsidR="000E3BC8" w:rsidRDefault="000E3BC8" w:rsidP="00790A8B">
      <w:pPr>
        <w:rPr>
          <w:lang w:val="en-US"/>
        </w:rPr>
      </w:pPr>
    </w:p>
    <w:p w:rsidR="000E3BC8" w:rsidRDefault="000E3BC8" w:rsidP="00790A8B">
      <w:pPr>
        <w:rPr>
          <w:lang w:val="en-US"/>
        </w:rPr>
      </w:pPr>
      <w:r>
        <w:rPr>
          <w:lang w:val="en-US"/>
        </w:rPr>
        <w:t>1 City Works Essen</w:t>
      </w:r>
    </w:p>
    <w:p w:rsidR="000E3BC8" w:rsidRDefault="000E3BC8" w:rsidP="00790A8B">
      <w:pPr>
        <w:rPr>
          <w:lang w:val="en-US"/>
        </w:rPr>
      </w:pPr>
    </w:p>
    <w:p w:rsidR="000E3BC8" w:rsidRPr="000E3BC8" w:rsidRDefault="000E3BC8" w:rsidP="000E3BC8">
      <w:pPr>
        <w:rPr>
          <w:lang w:val="en-US"/>
        </w:rPr>
      </w:pPr>
      <w:r>
        <w:rPr>
          <w:lang w:val="en-US"/>
        </w:rPr>
        <w:t xml:space="preserve">2 </w:t>
      </w:r>
      <w:r w:rsidRPr="000E3BC8">
        <w:rPr>
          <w:lang w:val="en-US"/>
        </w:rPr>
        <w:t xml:space="preserve">City of Bochum, Department of </w:t>
      </w:r>
      <w:r>
        <w:rPr>
          <w:lang w:val="en-US"/>
        </w:rPr>
        <w:t>C</w:t>
      </w:r>
      <w:r w:rsidRPr="000E3BC8">
        <w:rPr>
          <w:lang w:val="en-US"/>
        </w:rPr>
        <w:t>ivil Works</w:t>
      </w:r>
    </w:p>
    <w:p w:rsidR="000E3BC8" w:rsidRDefault="000E3BC8" w:rsidP="000E3BC8">
      <w:pPr>
        <w:rPr>
          <w:lang w:val="en-US"/>
        </w:rPr>
      </w:pPr>
    </w:p>
    <w:p w:rsidR="000E3BC8" w:rsidRPr="000E3BC8" w:rsidRDefault="000E3BC8" w:rsidP="000E3BC8">
      <w:pPr>
        <w:rPr>
          <w:lang w:val="en-US"/>
        </w:rPr>
      </w:pPr>
      <w:r>
        <w:rPr>
          <w:lang w:val="en-US"/>
        </w:rPr>
        <w:t>3. Umwelttechnik Franz Janßen GmbH</w:t>
      </w:r>
    </w:p>
    <w:p w:rsidR="003F0CB6" w:rsidRPr="003F0CB6" w:rsidRDefault="003F0CB6" w:rsidP="00BC72E2">
      <w:pPr>
        <w:rPr>
          <w:lang w:val="en-US"/>
        </w:rPr>
      </w:pPr>
      <w:bookmarkStart w:id="0" w:name="_GoBack"/>
      <w:bookmarkEnd w:id="0"/>
      <w:r>
        <w:rPr>
          <w:lang w:val="en-US"/>
        </w:rPr>
        <w:t xml:space="preserve"> </w:t>
      </w:r>
      <w:r>
        <w:rPr>
          <w:lang w:val="en-US"/>
        </w:rPr>
        <w:tab/>
      </w:r>
    </w:p>
    <w:p w:rsidR="007B1FB9" w:rsidRPr="007A21F5" w:rsidRDefault="007B1FB9" w:rsidP="007A21F5">
      <w:pPr>
        <w:pStyle w:val="Listenabsatz"/>
        <w:ind w:left="1440"/>
        <w:rPr>
          <w:lang w:val="en-US"/>
        </w:rPr>
      </w:pPr>
    </w:p>
    <w:sectPr w:rsidR="007B1FB9" w:rsidRPr="007A21F5" w:rsidSect="004B63F9">
      <w:footerReference w:type="even" r:id="rId21"/>
      <w:footerReference w:type="default" r:id="rId22"/>
      <w:pgSz w:w="11900" w:h="16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5EB" w:rsidRDefault="002775EB" w:rsidP="005836F3">
      <w:r>
        <w:separator/>
      </w:r>
    </w:p>
  </w:endnote>
  <w:endnote w:type="continuationSeparator" w:id="0">
    <w:p w:rsidR="002775EB" w:rsidRDefault="002775EB" w:rsidP="005836F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EB" w:rsidRDefault="00E36C94" w:rsidP="005836F3">
    <w:pPr>
      <w:pStyle w:val="Fuzeile"/>
      <w:framePr w:wrap="around" w:vAnchor="text" w:hAnchor="margin" w:xAlign="right" w:y="1"/>
      <w:rPr>
        <w:rStyle w:val="Seitenzahl"/>
      </w:rPr>
    </w:pPr>
    <w:r>
      <w:rPr>
        <w:rStyle w:val="Seitenzahl"/>
      </w:rPr>
      <w:fldChar w:fldCharType="begin"/>
    </w:r>
    <w:r w:rsidR="002775EB">
      <w:rPr>
        <w:rStyle w:val="Seitenzahl"/>
      </w:rPr>
      <w:instrText xml:space="preserve">PAGE  </w:instrText>
    </w:r>
    <w:r>
      <w:rPr>
        <w:rStyle w:val="Seitenzahl"/>
      </w:rPr>
      <w:fldChar w:fldCharType="end"/>
    </w:r>
  </w:p>
  <w:p w:rsidR="002775EB" w:rsidRDefault="002775EB" w:rsidP="005836F3">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EB" w:rsidRDefault="00E36C94" w:rsidP="005836F3">
    <w:pPr>
      <w:pStyle w:val="Fuzeile"/>
      <w:framePr w:wrap="around" w:vAnchor="text" w:hAnchor="margin" w:xAlign="right" w:y="1"/>
      <w:rPr>
        <w:rStyle w:val="Seitenzahl"/>
      </w:rPr>
    </w:pPr>
    <w:r>
      <w:rPr>
        <w:rStyle w:val="Seitenzahl"/>
      </w:rPr>
      <w:fldChar w:fldCharType="begin"/>
    </w:r>
    <w:r w:rsidR="002775EB">
      <w:rPr>
        <w:rStyle w:val="Seitenzahl"/>
      </w:rPr>
      <w:instrText xml:space="preserve">PAGE  </w:instrText>
    </w:r>
    <w:r>
      <w:rPr>
        <w:rStyle w:val="Seitenzahl"/>
      </w:rPr>
      <w:fldChar w:fldCharType="separate"/>
    </w:r>
    <w:r w:rsidR="00D81774">
      <w:rPr>
        <w:rStyle w:val="Seitenzahl"/>
        <w:noProof/>
      </w:rPr>
      <w:t>2</w:t>
    </w:r>
    <w:r>
      <w:rPr>
        <w:rStyle w:val="Seitenzahl"/>
      </w:rPr>
      <w:fldChar w:fldCharType="end"/>
    </w:r>
  </w:p>
  <w:p w:rsidR="002775EB" w:rsidRDefault="002775EB" w:rsidP="005836F3">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5EB" w:rsidRDefault="002775EB" w:rsidP="005836F3">
      <w:r>
        <w:separator/>
      </w:r>
    </w:p>
  </w:footnote>
  <w:footnote w:type="continuationSeparator" w:id="0">
    <w:p w:rsidR="002775EB" w:rsidRDefault="002775EB" w:rsidP="00583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851F7"/>
    <w:multiLevelType w:val="hybridMultilevel"/>
    <w:tmpl w:val="39AA7C4E"/>
    <w:lvl w:ilvl="0" w:tplc="B5F633A2">
      <w:start w:val="2"/>
      <w:numFmt w:val="bullet"/>
      <w:lvlText w:val="-"/>
      <w:lvlJc w:val="left"/>
      <w:pPr>
        <w:tabs>
          <w:tab w:val="num" w:pos="1425"/>
        </w:tabs>
        <w:ind w:left="1425" w:hanging="360"/>
      </w:pPr>
      <w:rPr>
        <w:rFonts w:ascii="Calibri" w:eastAsia="Times New Roman"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2D901DDC"/>
    <w:multiLevelType w:val="multilevel"/>
    <w:tmpl w:val="4E56D1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336C76CF"/>
    <w:multiLevelType w:val="hybridMultilevel"/>
    <w:tmpl w:val="4D9A865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nsid w:val="4AD758E8"/>
    <w:multiLevelType w:val="multilevel"/>
    <w:tmpl w:val="AAE8165C"/>
    <w:lvl w:ilvl="0">
      <w:start w:val="3"/>
      <w:numFmt w:val="decimal"/>
      <w:lvlText w:val="%1."/>
      <w:lvlJc w:val="left"/>
      <w:pPr>
        <w:ind w:left="108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nsid w:val="53827031"/>
    <w:multiLevelType w:val="hybridMultilevel"/>
    <w:tmpl w:val="20D014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1285060"/>
    <w:multiLevelType w:val="multilevel"/>
    <w:tmpl w:val="80941786"/>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72655ECF"/>
    <w:multiLevelType w:val="multilevel"/>
    <w:tmpl w:val="CAF4A3A6"/>
    <w:lvl w:ilvl="0">
      <w:start w:val="1"/>
      <w:numFmt w:val="decimal"/>
      <w:lvlText w:val="%1"/>
      <w:lvlJc w:val="left"/>
      <w:pPr>
        <w:ind w:left="560" w:hanging="560"/>
      </w:pPr>
      <w:rPr>
        <w:rFonts w:hint="default"/>
      </w:rPr>
    </w:lvl>
    <w:lvl w:ilvl="1">
      <w:start w:val="1"/>
      <w:numFmt w:val="decimal"/>
      <w:lvlText w:val="%1.%2"/>
      <w:lvlJc w:val="left"/>
      <w:pPr>
        <w:ind w:left="914" w:hanging="5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num w:numId="1">
    <w:abstractNumId w:val="1"/>
  </w:num>
  <w:num w:numId="2">
    <w:abstractNumId w:val="6"/>
  </w:num>
  <w:num w:numId="3">
    <w:abstractNumId w:val="5"/>
  </w:num>
  <w:num w:numId="4">
    <w:abstractNumId w:val="4"/>
  </w:num>
  <w:num w:numId="5">
    <w:abstractNumId w:val="3"/>
  </w:num>
  <w:num w:numId="6">
    <w:abstractNumId w:val="2"/>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characterSpacingControl w:val="doNotCompress"/>
  <w:footnotePr>
    <w:footnote w:id="-1"/>
    <w:footnote w:id="0"/>
  </w:footnotePr>
  <w:endnotePr>
    <w:endnote w:id="-1"/>
    <w:endnote w:id="0"/>
  </w:endnotePr>
  <w:compat>
    <w:useFELayout/>
  </w:compat>
  <w:rsids>
    <w:rsidRoot w:val="00A40702"/>
    <w:rsid w:val="00012521"/>
    <w:rsid w:val="000E3BC8"/>
    <w:rsid w:val="00197F09"/>
    <w:rsid w:val="001E1875"/>
    <w:rsid w:val="00252C58"/>
    <w:rsid w:val="002775EB"/>
    <w:rsid w:val="002A3DBF"/>
    <w:rsid w:val="00304FFE"/>
    <w:rsid w:val="00331428"/>
    <w:rsid w:val="00366F8B"/>
    <w:rsid w:val="003F0CB6"/>
    <w:rsid w:val="00424AA3"/>
    <w:rsid w:val="00431B2D"/>
    <w:rsid w:val="00483191"/>
    <w:rsid w:val="004B63F9"/>
    <w:rsid w:val="00532543"/>
    <w:rsid w:val="005416A9"/>
    <w:rsid w:val="005836F3"/>
    <w:rsid w:val="0059646E"/>
    <w:rsid w:val="005B7EFA"/>
    <w:rsid w:val="005C6D6E"/>
    <w:rsid w:val="005C7646"/>
    <w:rsid w:val="00646404"/>
    <w:rsid w:val="00653100"/>
    <w:rsid w:val="0066094F"/>
    <w:rsid w:val="00733A1F"/>
    <w:rsid w:val="007363BC"/>
    <w:rsid w:val="00790A8B"/>
    <w:rsid w:val="007A21F5"/>
    <w:rsid w:val="007A3D9D"/>
    <w:rsid w:val="007B1FB9"/>
    <w:rsid w:val="007B666A"/>
    <w:rsid w:val="00852683"/>
    <w:rsid w:val="008F5B84"/>
    <w:rsid w:val="009014F9"/>
    <w:rsid w:val="009428AA"/>
    <w:rsid w:val="009C6635"/>
    <w:rsid w:val="009E5C95"/>
    <w:rsid w:val="009E6577"/>
    <w:rsid w:val="00A40702"/>
    <w:rsid w:val="00A44B28"/>
    <w:rsid w:val="00B75FE2"/>
    <w:rsid w:val="00B9443F"/>
    <w:rsid w:val="00BC72E2"/>
    <w:rsid w:val="00BF05F8"/>
    <w:rsid w:val="00C55D10"/>
    <w:rsid w:val="00CD6A69"/>
    <w:rsid w:val="00CE5696"/>
    <w:rsid w:val="00D0063C"/>
    <w:rsid w:val="00D81774"/>
    <w:rsid w:val="00DA647C"/>
    <w:rsid w:val="00E36C94"/>
    <w:rsid w:val="00EC4C93"/>
    <w:rsid w:val="00EC651E"/>
    <w:rsid w:val="00F24772"/>
    <w:rsid w:val="00F34836"/>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6D6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32543"/>
    <w:pPr>
      <w:ind w:left="720"/>
      <w:contextualSpacing/>
    </w:pPr>
  </w:style>
  <w:style w:type="paragraph" w:styleId="Fuzeile">
    <w:name w:val="footer"/>
    <w:basedOn w:val="Standard"/>
    <w:link w:val="FuzeileZchn"/>
    <w:uiPriority w:val="99"/>
    <w:unhideWhenUsed/>
    <w:rsid w:val="005836F3"/>
    <w:pPr>
      <w:tabs>
        <w:tab w:val="center" w:pos="4536"/>
        <w:tab w:val="right" w:pos="9072"/>
      </w:tabs>
    </w:pPr>
  </w:style>
  <w:style w:type="character" w:customStyle="1" w:styleId="FuzeileZchn">
    <w:name w:val="Fußzeile Zchn"/>
    <w:basedOn w:val="Absatz-Standardschriftart"/>
    <w:link w:val="Fuzeile"/>
    <w:uiPriority w:val="99"/>
    <w:rsid w:val="005836F3"/>
  </w:style>
  <w:style w:type="character" w:styleId="Seitenzahl">
    <w:name w:val="page number"/>
    <w:basedOn w:val="Absatz-Standardschriftart"/>
    <w:uiPriority w:val="99"/>
    <w:semiHidden/>
    <w:unhideWhenUsed/>
    <w:rsid w:val="005836F3"/>
  </w:style>
  <w:style w:type="paragraph" w:styleId="Sprechblasentext">
    <w:name w:val="Balloon Text"/>
    <w:basedOn w:val="Standard"/>
    <w:link w:val="SprechblasentextZchn"/>
    <w:uiPriority w:val="99"/>
    <w:semiHidden/>
    <w:unhideWhenUsed/>
    <w:rsid w:val="009E657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657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32543"/>
    <w:pPr>
      <w:ind w:left="720"/>
      <w:contextualSpacing/>
    </w:pPr>
  </w:style>
  <w:style w:type="paragraph" w:styleId="Fuzeile">
    <w:name w:val="footer"/>
    <w:basedOn w:val="Standard"/>
    <w:link w:val="FuzeileZeichen"/>
    <w:uiPriority w:val="99"/>
    <w:unhideWhenUsed/>
    <w:rsid w:val="005836F3"/>
    <w:pPr>
      <w:tabs>
        <w:tab w:val="center" w:pos="4536"/>
        <w:tab w:val="right" w:pos="9072"/>
      </w:tabs>
    </w:pPr>
  </w:style>
  <w:style w:type="character" w:customStyle="1" w:styleId="FuzeileZeichen">
    <w:name w:val="Fußzeile Zeichen"/>
    <w:basedOn w:val="Absatzstandardschriftart"/>
    <w:link w:val="Fuzeile"/>
    <w:uiPriority w:val="99"/>
    <w:rsid w:val="005836F3"/>
  </w:style>
  <w:style w:type="character" w:styleId="Seitenzahl">
    <w:name w:val="page number"/>
    <w:basedOn w:val="Absatzstandardschriftart"/>
    <w:uiPriority w:val="99"/>
    <w:semiHidden/>
    <w:unhideWhenUsed/>
    <w:rsid w:val="005836F3"/>
  </w:style>
</w:styles>
</file>

<file path=word/webSettings.xml><?xml version="1.0" encoding="utf-8"?>
<w:webSettings xmlns:r="http://schemas.openxmlformats.org/officeDocument/2006/relationships" xmlns:w="http://schemas.openxmlformats.org/wordprocessingml/2006/main">
  <w:divs>
    <w:div w:id="19512795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4.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3.emf"/><Relationship Id="rId17" Type="http://schemas.openxmlformats.org/officeDocument/2006/relationships/image" Target="media/image7.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emf"/><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Arbeitsblat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Arbeitsblat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Arbeitsblat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Arbeitsblatt4.xlsx"/></Relationships>
</file>

<file path=word/charts/chart1.xml><?xml version="1.0" encoding="utf-8"?>
<c:chartSpace xmlns:c="http://schemas.openxmlformats.org/drawingml/2006/chart" xmlns:a="http://schemas.openxmlformats.org/drawingml/2006/main" xmlns:r="http://schemas.openxmlformats.org/officeDocument/2006/relationships">
  <c:lang val="de-DE"/>
  <c:chart>
    <c:title>
      <c:tx>
        <c:rich>
          <a:bodyPr/>
          <a:lstStyle/>
          <a:p>
            <a:pPr>
              <a:defRPr sz="634" b="1" i="0" u="none" strike="noStrike" baseline="0">
                <a:solidFill>
                  <a:srgbClr val="000000"/>
                </a:solidFill>
                <a:latin typeface="Arial"/>
                <a:ea typeface="Arial"/>
                <a:cs typeface="Arial"/>
              </a:defRPr>
            </a:pPr>
            <a:r>
              <a:rPr lang="de-DE"/>
              <a:t>Prozentuale Verteilung der Verfahren</a:t>
            </a:r>
          </a:p>
        </c:rich>
      </c:tx>
      <c:layout>
        <c:manualLayout>
          <c:xMode val="edge"/>
          <c:yMode val="edge"/>
          <c:x val="0.30454544461366012"/>
          <c:y val="2.0618543930252541E-2"/>
        </c:manualLayout>
      </c:layout>
      <c:spPr>
        <a:noFill/>
        <a:ln w="10063">
          <a:noFill/>
        </a:ln>
      </c:spPr>
    </c:title>
    <c:view3D>
      <c:perspective val="0"/>
    </c:view3D>
    <c:plotArea>
      <c:layout>
        <c:manualLayout>
          <c:layoutTarget val="inner"/>
          <c:xMode val="edge"/>
          <c:yMode val="edge"/>
          <c:x val="8.9090909090909151E-2"/>
          <c:y val="0.37997054491899857"/>
          <c:w val="0.82545454545454533"/>
          <c:h val="0.53166421207658365"/>
        </c:manualLayout>
      </c:layout>
      <c:pie3DChart>
        <c:varyColors val="1"/>
        <c:ser>
          <c:idx val="0"/>
          <c:order val="0"/>
          <c:tx>
            <c:strRef>
              <c:f>Statistik_Haltungen!$E$2:$E$4</c:f>
              <c:strCache>
                <c:ptCount val="1"/>
                <c:pt idx="0">
                  <c:v>Mischwasser Regenwasser Schmutzwasser</c:v>
                </c:pt>
              </c:strCache>
            </c:strRef>
          </c:tx>
          <c:spPr>
            <a:solidFill>
              <a:srgbClr val="FF00FF"/>
            </a:solidFill>
            <a:ln w="5032">
              <a:solidFill>
                <a:srgbClr val="000000"/>
              </a:solidFill>
              <a:prstDash val="solid"/>
            </a:ln>
          </c:spPr>
          <c:explosion val="25"/>
          <c:dPt>
            <c:idx val="0"/>
            <c:spPr>
              <a:solidFill>
                <a:schemeClr val="tx1">
                  <a:lumMod val="50000"/>
                  <a:lumOff val="50000"/>
                </a:schemeClr>
              </a:solidFill>
              <a:ln w="5032">
                <a:solidFill>
                  <a:srgbClr val="000000"/>
                </a:solidFill>
                <a:prstDash val="solid"/>
              </a:ln>
            </c:spPr>
          </c:dPt>
          <c:dPt>
            <c:idx val="1"/>
            <c:spPr>
              <a:solidFill>
                <a:srgbClr val="0000FF"/>
              </a:solidFill>
              <a:ln w="5032">
                <a:solidFill>
                  <a:srgbClr val="000000"/>
                </a:solidFill>
                <a:prstDash val="solid"/>
              </a:ln>
            </c:spPr>
          </c:dPt>
          <c:dPt>
            <c:idx val="2"/>
            <c:spPr>
              <a:solidFill>
                <a:schemeClr val="accent5">
                  <a:lumMod val="60000"/>
                  <a:lumOff val="40000"/>
                </a:schemeClr>
              </a:solidFill>
              <a:ln w="5032">
                <a:solidFill>
                  <a:srgbClr val="000000"/>
                </a:solidFill>
                <a:prstDash val="solid"/>
              </a:ln>
            </c:spPr>
          </c:dPt>
          <c:dLbls>
            <c:numFmt formatCode="0%" sourceLinked="0"/>
            <c:spPr>
              <a:noFill/>
              <a:ln w="10063">
                <a:noFill/>
              </a:ln>
            </c:spPr>
            <c:txPr>
              <a:bodyPr/>
              <a:lstStyle/>
              <a:p>
                <a:pPr>
                  <a:defRPr sz="475" b="0" i="0" u="none" strike="noStrike" baseline="0">
                    <a:solidFill>
                      <a:srgbClr val="000000"/>
                    </a:solidFill>
                    <a:latin typeface="Arial"/>
                    <a:ea typeface="Arial"/>
                    <a:cs typeface="Arial"/>
                  </a:defRPr>
                </a:pPr>
                <a:endParaRPr lang="de-DE"/>
              </a:p>
            </c:txPr>
            <c:showLegendKey val="1"/>
            <c:showCatName val="1"/>
            <c:showPercent val="1"/>
            <c:showLeaderLines val="1"/>
          </c:dLbls>
          <c:cat>
            <c:strRef>
              <c:f>Statistik_Haltungen!$E$2:$E$4</c:f>
              <c:strCache>
                <c:ptCount val="3"/>
                <c:pt idx="0">
                  <c:v>Mischwasser</c:v>
                </c:pt>
                <c:pt idx="1">
                  <c:v>Regenwasser</c:v>
                </c:pt>
                <c:pt idx="2">
                  <c:v>Schmutzwasser</c:v>
                </c:pt>
              </c:strCache>
            </c:strRef>
          </c:cat>
          <c:val>
            <c:numRef>
              <c:f>Statistik_Haltungen!$D$2:$D$4</c:f>
              <c:numCache>
                <c:formatCode>0</c:formatCode>
                <c:ptCount val="3"/>
                <c:pt idx="0">
                  <c:v>1441.2120319999858</c:v>
                </c:pt>
                <c:pt idx="1">
                  <c:v>85.289155999999906</c:v>
                </c:pt>
                <c:pt idx="2">
                  <c:v>105.36533999999997</c:v>
                </c:pt>
              </c:numCache>
            </c:numRef>
          </c:val>
        </c:ser>
      </c:pie3DChart>
      <c:spPr>
        <a:noFill/>
        <a:ln w="10063">
          <a:noFill/>
        </a:ln>
      </c:spPr>
    </c:plotArea>
    <c:plotVisOnly val="1"/>
    <c:dispBlanksAs val="zero"/>
  </c:chart>
  <c:spPr>
    <a:noFill/>
    <a:ln>
      <a:noFill/>
    </a:ln>
  </c:spPr>
  <c:txPr>
    <a:bodyPr/>
    <a:lstStyle/>
    <a:p>
      <a:pPr>
        <a:defRPr sz="396" b="0" i="0" u="none" strike="noStrike" baseline="0">
          <a:solidFill>
            <a:srgbClr val="000000"/>
          </a:solidFill>
          <a:latin typeface="Arial"/>
          <a:ea typeface="Arial"/>
          <a:cs typeface="Arial"/>
        </a:defRPr>
      </a:pPr>
      <a:endParaRPr lang="de-D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chart>
    <c:autoTitleDeleted val="1"/>
    <c:plotArea>
      <c:layout>
        <c:manualLayout>
          <c:layoutTarget val="inner"/>
          <c:xMode val="edge"/>
          <c:yMode val="edge"/>
          <c:x val="8.5454545454545491E-2"/>
          <c:y val="3.3873343151693679E-2"/>
          <c:w val="0.90454545454545465"/>
          <c:h val="0.87334315169366739"/>
        </c:manualLayout>
      </c:layout>
      <c:barChart>
        <c:barDir val="col"/>
        <c:grouping val="clustered"/>
        <c:ser>
          <c:idx val="0"/>
          <c:order val="0"/>
          <c:tx>
            <c:strRef>
              <c:f>Statistik_BJ!$A$1:$A$2</c:f>
              <c:strCache>
                <c:ptCount val="1"/>
                <c:pt idx="0">
                  <c:v>Summe von hl 15473,238</c:v>
                </c:pt>
              </c:strCache>
            </c:strRef>
          </c:tx>
          <c:spPr>
            <a:solidFill>
              <a:srgbClr val="9999FF"/>
            </a:solidFill>
            <a:ln w="5077">
              <a:solidFill>
                <a:srgbClr val="000000"/>
              </a:solidFill>
              <a:prstDash val="solid"/>
            </a:ln>
          </c:spPr>
          <c:cat>
            <c:strRef>
              <c:f>Statistik_BJ!$C:$C</c:f>
              <c:strCache>
                <c:ptCount val="131"/>
                <c:pt idx="0">
                  <c:v>bj</c:v>
                </c:pt>
                <c:pt idx="1">
                  <c:v>ohne</c:v>
                </c:pt>
                <c:pt idx="2">
                  <c:v>1869</c:v>
                </c:pt>
                <c:pt idx="3">
                  <c:v>1871</c:v>
                </c:pt>
                <c:pt idx="4">
                  <c:v>1873</c:v>
                </c:pt>
                <c:pt idx="5">
                  <c:v>1874</c:v>
                </c:pt>
                <c:pt idx="6">
                  <c:v>1878</c:v>
                </c:pt>
                <c:pt idx="7">
                  <c:v>1882</c:v>
                </c:pt>
                <c:pt idx="8">
                  <c:v>1883</c:v>
                </c:pt>
                <c:pt idx="9">
                  <c:v>1884</c:v>
                </c:pt>
                <c:pt idx="10">
                  <c:v>1885</c:v>
                </c:pt>
                <c:pt idx="11">
                  <c:v>1886</c:v>
                </c:pt>
                <c:pt idx="12">
                  <c:v>1889</c:v>
                </c:pt>
                <c:pt idx="13">
                  <c:v>1890</c:v>
                </c:pt>
                <c:pt idx="14">
                  <c:v>1891</c:v>
                </c:pt>
                <c:pt idx="15">
                  <c:v>1892</c:v>
                </c:pt>
                <c:pt idx="16">
                  <c:v>1893</c:v>
                </c:pt>
                <c:pt idx="17">
                  <c:v>1894</c:v>
                </c:pt>
                <c:pt idx="18">
                  <c:v>1895</c:v>
                </c:pt>
                <c:pt idx="19">
                  <c:v>1896</c:v>
                </c:pt>
                <c:pt idx="20">
                  <c:v>1897</c:v>
                </c:pt>
                <c:pt idx="21">
                  <c:v>1898</c:v>
                </c:pt>
                <c:pt idx="22">
                  <c:v>1899</c:v>
                </c:pt>
                <c:pt idx="23">
                  <c:v>1900</c:v>
                </c:pt>
                <c:pt idx="24">
                  <c:v>1901</c:v>
                </c:pt>
                <c:pt idx="25">
                  <c:v>1902</c:v>
                </c:pt>
                <c:pt idx="26">
                  <c:v>1903</c:v>
                </c:pt>
                <c:pt idx="27">
                  <c:v>1904</c:v>
                </c:pt>
                <c:pt idx="28">
                  <c:v>1905</c:v>
                </c:pt>
                <c:pt idx="29">
                  <c:v>1906</c:v>
                </c:pt>
                <c:pt idx="30">
                  <c:v>1907</c:v>
                </c:pt>
                <c:pt idx="31">
                  <c:v>1908</c:v>
                </c:pt>
                <c:pt idx="32">
                  <c:v>1909</c:v>
                </c:pt>
                <c:pt idx="33">
                  <c:v>1910</c:v>
                </c:pt>
                <c:pt idx="34">
                  <c:v>1911</c:v>
                </c:pt>
                <c:pt idx="35">
                  <c:v>1912</c:v>
                </c:pt>
                <c:pt idx="36">
                  <c:v>1913</c:v>
                </c:pt>
                <c:pt idx="37">
                  <c:v>1914</c:v>
                </c:pt>
                <c:pt idx="38">
                  <c:v>1915</c:v>
                </c:pt>
                <c:pt idx="39">
                  <c:v>1916</c:v>
                </c:pt>
                <c:pt idx="40">
                  <c:v>1917</c:v>
                </c:pt>
                <c:pt idx="41">
                  <c:v>1918</c:v>
                </c:pt>
                <c:pt idx="42">
                  <c:v>1919</c:v>
                </c:pt>
                <c:pt idx="43">
                  <c:v>1920</c:v>
                </c:pt>
                <c:pt idx="44">
                  <c:v>1921</c:v>
                </c:pt>
                <c:pt idx="45">
                  <c:v>1922</c:v>
                </c:pt>
                <c:pt idx="46">
                  <c:v>1923</c:v>
                </c:pt>
                <c:pt idx="47">
                  <c:v>1924</c:v>
                </c:pt>
                <c:pt idx="48">
                  <c:v>1925</c:v>
                </c:pt>
                <c:pt idx="49">
                  <c:v>1926</c:v>
                </c:pt>
                <c:pt idx="50">
                  <c:v>1927</c:v>
                </c:pt>
                <c:pt idx="51">
                  <c:v>1928</c:v>
                </c:pt>
                <c:pt idx="52">
                  <c:v>1929</c:v>
                </c:pt>
                <c:pt idx="53">
                  <c:v>1930</c:v>
                </c:pt>
                <c:pt idx="54">
                  <c:v>1931</c:v>
                </c:pt>
                <c:pt idx="55">
                  <c:v>1932</c:v>
                </c:pt>
                <c:pt idx="56">
                  <c:v>1933</c:v>
                </c:pt>
                <c:pt idx="57">
                  <c:v>1934</c:v>
                </c:pt>
                <c:pt idx="58">
                  <c:v>1935</c:v>
                </c:pt>
                <c:pt idx="59">
                  <c:v>1936</c:v>
                </c:pt>
                <c:pt idx="60">
                  <c:v>1937</c:v>
                </c:pt>
                <c:pt idx="61">
                  <c:v>1938</c:v>
                </c:pt>
                <c:pt idx="62">
                  <c:v>1939</c:v>
                </c:pt>
                <c:pt idx="63">
                  <c:v>1940</c:v>
                </c:pt>
                <c:pt idx="64">
                  <c:v>1941</c:v>
                </c:pt>
                <c:pt idx="65">
                  <c:v>1942</c:v>
                </c:pt>
                <c:pt idx="66">
                  <c:v>1943</c:v>
                </c:pt>
                <c:pt idx="67">
                  <c:v>1946</c:v>
                </c:pt>
                <c:pt idx="68">
                  <c:v>1947</c:v>
                </c:pt>
                <c:pt idx="69">
                  <c:v>1948</c:v>
                </c:pt>
                <c:pt idx="70">
                  <c:v>1949</c:v>
                </c:pt>
                <c:pt idx="71">
                  <c:v>1950</c:v>
                </c:pt>
                <c:pt idx="72">
                  <c:v>1951</c:v>
                </c:pt>
                <c:pt idx="73">
                  <c:v>1952</c:v>
                </c:pt>
                <c:pt idx="74">
                  <c:v>1953</c:v>
                </c:pt>
                <c:pt idx="75">
                  <c:v>1954</c:v>
                </c:pt>
                <c:pt idx="76">
                  <c:v>1955</c:v>
                </c:pt>
                <c:pt idx="77">
                  <c:v>1956</c:v>
                </c:pt>
                <c:pt idx="78">
                  <c:v>1957</c:v>
                </c:pt>
                <c:pt idx="79">
                  <c:v>1958</c:v>
                </c:pt>
                <c:pt idx="80">
                  <c:v>1959</c:v>
                </c:pt>
                <c:pt idx="81">
                  <c:v>1960</c:v>
                </c:pt>
                <c:pt idx="82">
                  <c:v>1961</c:v>
                </c:pt>
                <c:pt idx="83">
                  <c:v>1962</c:v>
                </c:pt>
                <c:pt idx="84">
                  <c:v>1963</c:v>
                </c:pt>
                <c:pt idx="85">
                  <c:v>1964</c:v>
                </c:pt>
                <c:pt idx="86">
                  <c:v>1965</c:v>
                </c:pt>
                <c:pt idx="87">
                  <c:v>1966</c:v>
                </c:pt>
                <c:pt idx="88">
                  <c:v>1967</c:v>
                </c:pt>
                <c:pt idx="89">
                  <c:v>1968</c:v>
                </c:pt>
                <c:pt idx="90">
                  <c:v>1969</c:v>
                </c:pt>
                <c:pt idx="91">
                  <c:v>1970</c:v>
                </c:pt>
                <c:pt idx="92">
                  <c:v>1971</c:v>
                </c:pt>
                <c:pt idx="93">
                  <c:v>1972</c:v>
                </c:pt>
                <c:pt idx="94">
                  <c:v>1973</c:v>
                </c:pt>
                <c:pt idx="95">
                  <c:v>1974</c:v>
                </c:pt>
                <c:pt idx="96">
                  <c:v>1975</c:v>
                </c:pt>
                <c:pt idx="97">
                  <c:v>1976</c:v>
                </c:pt>
                <c:pt idx="98">
                  <c:v>1977</c:v>
                </c:pt>
                <c:pt idx="99">
                  <c:v>1978</c:v>
                </c:pt>
                <c:pt idx="100">
                  <c:v>1979</c:v>
                </c:pt>
                <c:pt idx="101">
                  <c:v>1980</c:v>
                </c:pt>
                <c:pt idx="102">
                  <c:v>1981</c:v>
                </c:pt>
                <c:pt idx="103">
                  <c:v>1982</c:v>
                </c:pt>
                <c:pt idx="104">
                  <c:v>1983</c:v>
                </c:pt>
                <c:pt idx="105">
                  <c:v>1984</c:v>
                </c:pt>
                <c:pt idx="106">
                  <c:v>1985</c:v>
                </c:pt>
                <c:pt idx="107">
                  <c:v>1986</c:v>
                </c:pt>
                <c:pt idx="108">
                  <c:v>1987</c:v>
                </c:pt>
                <c:pt idx="109">
                  <c:v>1988</c:v>
                </c:pt>
                <c:pt idx="110">
                  <c:v>1989</c:v>
                </c:pt>
                <c:pt idx="111">
                  <c:v>1990</c:v>
                </c:pt>
                <c:pt idx="112">
                  <c:v>1991</c:v>
                </c:pt>
                <c:pt idx="113">
                  <c:v>1992</c:v>
                </c:pt>
                <c:pt idx="114">
                  <c:v>1993</c:v>
                </c:pt>
                <c:pt idx="115">
                  <c:v>1994</c:v>
                </c:pt>
                <c:pt idx="116">
                  <c:v>1995</c:v>
                </c:pt>
                <c:pt idx="117">
                  <c:v>1996</c:v>
                </c:pt>
                <c:pt idx="118">
                  <c:v>1997</c:v>
                </c:pt>
                <c:pt idx="119">
                  <c:v>1998</c:v>
                </c:pt>
                <c:pt idx="120">
                  <c:v>1999</c:v>
                </c:pt>
                <c:pt idx="121">
                  <c:v>2000</c:v>
                </c:pt>
                <c:pt idx="122">
                  <c:v>2001</c:v>
                </c:pt>
                <c:pt idx="123">
                  <c:v>2002</c:v>
                </c:pt>
                <c:pt idx="124">
                  <c:v>2003</c:v>
                </c:pt>
                <c:pt idx="125">
                  <c:v>2004</c:v>
                </c:pt>
                <c:pt idx="126">
                  <c:v>2005</c:v>
                </c:pt>
                <c:pt idx="127">
                  <c:v>2006</c:v>
                </c:pt>
                <c:pt idx="128">
                  <c:v>2007</c:v>
                </c:pt>
                <c:pt idx="129">
                  <c:v>2008</c:v>
                </c:pt>
                <c:pt idx="130">
                  <c:v>2009</c:v>
                </c:pt>
              </c:strCache>
            </c:strRef>
          </c:cat>
          <c:val>
            <c:numRef>
              <c:f>Statistik_BJ!$A$3:$A$131</c:f>
              <c:numCache>
                <c:formatCode>General</c:formatCode>
                <c:ptCount val="129"/>
                <c:pt idx="0">
                  <c:v>135.78100000000001</c:v>
                </c:pt>
                <c:pt idx="1">
                  <c:v>80.92</c:v>
                </c:pt>
                <c:pt idx="2">
                  <c:v>18.284999999999993</c:v>
                </c:pt>
                <c:pt idx="3">
                  <c:v>168.57399999999998</c:v>
                </c:pt>
                <c:pt idx="4">
                  <c:v>173.39500000000001</c:v>
                </c:pt>
                <c:pt idx="5">
                  <c:v>97.664999999999992</c:v>
                </c:pt>
                <c:pt idx="6">
                  <c:v>446.315</c:v>
                </c:pt>
                <c:pt idx="7">
                  <c:v>12.25</c:v>
                </c:pt>
                <c:pt idx="8">
                  <c:v>308.12099999999987</c:v>
                </c:pt>
                <c:pt idx="9">
                  <c:v>731.13099999999997</c:v>
                </c:pt>
                <c:pt idx="10">
                  <c:v>13.7</c:v>
                </c:pt>
                <c:pt idx="11">
                  <c:v>235.947</c:v>
                </c:pt>
                <c:pt idx="12">
                  <c:v>120.71900000000002</c:v>
                </c:pt>
                <c:pt idx="13">
                  <c:v>1927.1269999999997</c:v>
                </c:pt>
                <c:pt idx="14">
                  <c:v>238.12200000000001</c:v>
                </c:pt>
                <c:pt idx="15">
                  <c:v>260.73299999999989</c:v>
                </c:pt>
                <c:pt idx="16">
                  <c:v>2793.405999999999</c:v>
                </c:pt>
                <c:pt idx="17">
                  <c:v>768.31499999999983</c:v>
                </c:pt>
                <c:pt idx="18">
                  <c:v>985.48</c:v>
                </c:pt>
                <c:pt idx="19">
                  <c:v>1274.4540000000002</c:v>
                </c:pt>
                <c:pt idx="20">
                  <c:v>1567.1389999999999</c:v>
                </c:pt>
                <c:pt idx="21">
                  <c:v>6643.3330000000005</c:v>
                </c:pt>
                <c:pt idx="22">
                  <c:v>2226.3350000000009</c:v>
                </c:pt>
                <c:pt idx="23">
                  <c:v>3669.7479999999991</c:v>
                </c:pt>
                <c:pt idx="24">
                  <c:v>3757.3190000000009</c:v>
                </c:pt>
                <c:pt idx="25">
                  <c:v>7674.1720000000014</c:v>
                </c:pt>
                <c:pt idx="26">
                  <c:v>6314.7220000000034</c:v>
                </c:pt>
                <c:pt idx="27">
                  <c:v>10809.811999999989</c:v>
                </c:pt>
                <c:pt idx="28">
                  <c:v>12675.657999999989</c:v>
                </c:pt>
                <c:pt idx="29">
                  <c:v>11114.525000000012</c:v>
                </c:pt>
                <c:pt idx="30">
                  <c:v>9827.3250000000025</c:v>
                </c:pt>
                <c:pt idx="31">
                  <c:v>23364.16800000002</c:v>
                </c:pt>
                <c:pt idx="32">
                  <c:v>17228.455000000009</c:v>
                </c:pt>
                <c:pt idx="33">
                  <c:v>13626.547999999995</c:v>
                </c:pt>
                <c:pt idx="34">
                  <c:v>16771.59</c:v>
                </c:pt>
                <c:pt idx="35">
                  <c:v>12329.005000000006</c:v>
                </c:pt>
                <c:pt idx="36">
                  <c:v>8927.6599999999871</c:v>
                </c:pt>
                <c:pt idx="37">
                  <c:v>1106.4060000000004</c:v>
                </c:pt>
                <c:pt idx="38">
                  <c:v>920.5619999999999</c:v>
                </c:pt>
                <c:pt idx="39">
                  <c:v>165.56200000000001</c:v>
                </c:pt>
                <c:pt idx="40">
                  <c:v>7009.9910000000009</c:v>
                </c:pt>
                <c:pt idx="41">
                  <c:v>6039.9939999999979</c:v>
                </c:pt>
                <c:pt idx="42">
                  <c:v>5841.7040000000006</c:v>
                </c:pt>
                <c:pt idx="43">
                  <c:v>11560.291999999996</c:v>
                </c:pt>
                <c:pt idx="44">
                  <c:v>9545.7590000000073</c:v>
                </c:pt>
                <c:pt idx="45">
                  <c:v>7882.8180000000011</c:v>
                </c:pt>
                <c:pt idx="46">
                  <c:v>6193.43</c:v>
                </c:pt>
                <c:pt idx="47">
                  <c:v>6266.0729999999994</c:v>
                </c:pt>
                <c:pt idx="48">
                  <c:v>12547.855999999985</c:v>
                </c:pt>
                <c:pt idx="49">
                  <c:v>20297.418999999994</c:v>
                </c:pt>
                <c:pt idx="50">
                  <c:v>21508.97</c:v>
                </c:pt>
                <c:pt idx="51">
                  <c:v>10803.105999999985</c:v>
                </c:pt>
                <c:pt idx="52">
                  <c:v>9296.65</c:v>
                </c:pt>
                <c:pt idx="53">
                  <c:v>7686.3540000000021</c:v>
                </c:pt>
                <c:pt idx="54">
                  <c:v>11103.23699999999</c:v>
                </c:pt>
                <c:pt idx="55">
                  <c:v>10993.965000000006</c:v>
                </c:pt>
                <c:pt idx="56">
                  <c:v>13059.7</c:v>
                </c:pt>
                <c:pt idx="57">
                  <c:v>17651.762999999999</c:v>
                </c:pt>
                <c:pt idx="58">
                  <c:v>17815.09400000003</c:v>
                </c:pt>
                <c:pt idx="59">
                  <c:v>20052.646999999994</c:v>
                </c:pt>
                <c:pt idx="60">
                  <c:v>12221.550999999985</c:v>
                </c:pt>
                <c:pt idx="61">
                  <c:v>11412.921999999982</c:v>
                </c:pt>
                <c:pt idx="62">
                  <c:v>4319.6880000000001</c:v>
                </c:pt>
                <c:pt idx="63">
                  <c:v>296.28500000000003</c:v>
                </c:pt>
                <c:pt idx="64">
                  <c:v>966.05300000000022</c:v>
                </c:pt>
                <c:pt idx="65">
                  <c:v>1488.1679999999999</c:v>
                </c:pt>
                <c:pt idx="66">
                  <c:v>167.3</c:v>
                </c:pt>
                <c:pt idx="67">
                  <c:v>3354.1679999999988</c:v>
                </c:pt>
                <c:pt idx="68">
                  <c:v>7032.2620000000024</c:v>
                </c:pt>
                <c:pt idx="69">
                  <c:v>8322.2879999999914</c:v>
                </c:pt>
                <c:pt idx="70">
                  <c:v>12139.535</c:v>
                </c:pt>
                <c:pt idx="71">
                  <c:v>14408.096000000007</c:v>
                </c:pt>
                <c:pt idx="72">
                  <c:v>20963.343999999994</c:v>
                </c:pt>
                <c:pt idx="73">
                  <c:v>15985.913999999986</c:v>
                </c:pt>
                <c:pt idx="74">
                  <c:v>13370.954000000007</c:v>
                </c:pt>
                <c:pt idx="75">
                  <c:v>15597.033999999991</c:v>
                </c:pt>
                <c:pt idx="76">
                  <c:v>22381.840999999982</c:v>
                </c:pt>
                <c:pt idx="77">
                  <c:v>21049.51200000001</c:v>
                </c:pt>
                <c:pt idx="78">
                  <c:v>21230.264999999981</c:v>
                </c:pt>
                <c:pt idx="79">
                  <c:v>29884.492999999977</c:v>
                </c:pt>
                <c:pt idx="80">
                  <c:v>27616.654999999981</c:v>
                </c:pt>
                <c:pt idx="81">
                  <c:v>31030.713000000022</c:v>
                </c:pt>
                <c:pt idx="82">
                  <c:v>25550.532999999992</c:v>
                </c:pt>
                <c:pt idx="83">
                  <c:v>29064.638999999999</c:v>
                </c:pt>
                <c:pt idx="84">
                  <c:v>20638.531999999996</c:v>
                </c:pt>
                <c:pt idx="85">
                  <c:v>27202.373000000007</c:v>
                </c:pt>
                <c:pt idx="86">
                  <c:v>27122.88300000002</c:v>
                </c:pt>
                <c:pt idx="87">
                  <c:v>33334.53</c:v>
                </c:pt>
                <c:pt idx="88">
                  <c:v>33297.762999999984</c:v>
                </c:pt>
                <c:pt idx="89">
                  <c:v>23737.744999999981</c:v>
                </c:pt>
                <c:pt idx="90">
                  <c:v>37916.803000000058</c:v>
                </c:pt>
                <c:pt idx="91">
                  <c:v>22586.138999999999</c:v>
                </c:pt>
                <c:pt idx="92">
                  <c:v>19892.352999999992</c:v>
                </c:pt>
                <c:pt idx="93">
                  <c:v>24543.586999999985</c:v>
                </c:pt>
                <c:pt idx="94">
                  <c:v>26153.785000000007</c:v>
                </c:pt>
                <c:pt idx="95">
                  <c:v>21146.712000000014</c:v>
                </c:pt>
                <c:pt idx="96">
                  <c:v>19668.524999999987</c:v>
                </c:pt>
                <c:pt idx="97">
                  <c:v>16545.119000000006</c:v>
                </c:pt>
                <c:pt idx="98">
                  <c:v>14093.141000000007</c:v>
                </c:pt>
                <c:pt idx="99">
                  <c:v>17925.32</c:v>
                </c:pt>
                <c:pt idx="100">
                  <c:v>16366.08599999999</c:v>
                </c:pt>
                <c:pt idx="101">
                  <c:v>15752.136</c:v>
                </c:pt>
                <c:pt idx="102">
                  <c:v>16937.773999999998</c:v>
                </c:pt>
                <c:pt idx="103">
                  <c:v>18418.834999999992</c:v>
                </c:pt>
                <c:pt idx="104">
                  <c:v>14606.649000000005</c:v>
                </c:pt>
                <c:pt idx="105">
                  <c:v>15286.87299999999</c:v>
                </c:pt>
                <c:pt idx="106">
                  <c:v>19251.254999999972</c:v>
                </c:pt>
                <c:pt idx="107">
                  <c:v>10366.754999999994</c:v>
                </c:pt>
                <c:pt idx="108">
                  <c:v>16344.146999999988</c:v>
                </c:pt>
                <c:pt idx="109">
                  <c:v>18308.63599999998</c:v>
                </c:pt>
                <c:pt idx="110">
                  <c:v>13956.392000000005</c:v>
                </c:pt>
                <c:pt idx="111">
                  <c:v>13417.594000000012</c:v>
                </c:pt>
                <c:pt idx="112">
                  <c:v>11580.003000000002</c:v>
                </c:pt>
                <c:pt idx="113">
                  <c:v>11393.606000000005</c:v>
                </c:pt>
                <c:pt idx="114">
                  <c:v>10830.356999999998</c:v>
                </c:pt>
                <c:pt idx="115">
                  <c:v>13607.133999999985</c:v>
                </c:pt>
                <c:pt idx="116">
                  <c:v>12966.995000000003</c:v>
                </c:pt>
                <c:pt idx="117">
                  <c:v>16551.740000000005</c:v>
                </c:pt>
                <c:pt idx="118">
                  <c:v>19779.315999999992</c:v>
                </c:pt>
                <c:pt idx="119">
                  <c:v>34022.437000000005</c:v>
                </c:pt>
                <c:pt idx="120">
                  <c:v>18948.898000000019</c:v>
                </c:pt>
                <c:pt idx="121">
                  <c:v>21507.507999999983</c:v>
                </c:pt>
                <c:pt idx="122">
                  <c:v>21370.43</c:v>
                </c:pt>
                <c:pt idx="123">
                  <c:v>17793.001999999993</c:v>
                </c:pt>
                <c:pt idx="124">
                  <c:v>18943.542000000019</c:v>
                </c:pt>
                <c:pt idx="125">
                  <c:v>11694.208999999988</c:v>
                </c:pt>
                <c:pt idx="126">
                  <c:v>11343.072999999995</c:v>
                </c:pt>
                <c:pt idx="127">
                  <c:v>10559.066000000001</c:v>
                </c:pt>
                <c:pt idx="128">
                  <c:v>14162.012999999994</c:v>
                </c:pt>
              </c:numCache>
            </c:numRef>
          </c:val>
        </c:ser>
        <c:axId val="91180416"/>
        <c:axId val="91219456"/>
      </c:barChart>
      <c:catAx>
        <c:axId val="91180416"/>
        <c:scaling>
          <c:orientation val="minMax"/>
        </c:scaling>
        <c:axPos val="b"/>
        <c:numFmt formatCode="General" sourceLinked="1"/>
        <c:tickLblPos val="nextTo"/>
        <c:spPr>
          <a:ln w="1269">
            <a:solidFill>
              <a:srgbClr val="000000"/>
            </a:solidFill>
            <a:prstDash val="solid"/>
          </a:ln>
        </c:spPr>
        <c:txPr>
          <a:bodyPr rot="-2700000" vert="horz"/>
          <a:lstStyle/>
          <a:p>
            <a:pPr>
              <a:defRPr sz="400" b="0" i="0" u="none" strike="noStrike" baseline="0">
                <a:solidFill>
                  <a:srgbClr val="000000"/>
                </a:solidFill>
                <a:latin typeface="Arial"/>
                <a:ea typeface="Arial"/>
                <a:cs typeface="Arial"/>
              </a:defRPr>
            </a:pPr>
            <a:endParaRPr lang="de-DE"/>
          </a:p>
        </c:txPr>
        <c:crossAx val="91219456"/>
        <c:crosses val="autoZero"/>
        <c:auto val="1"/>
        <c:lblAlgn val="ctr"/>
        <c:lblOffset val="100"/>
        <c:tickLblSkip val="4"/>
        <c:tickMarkSkip val="1"/>
      </c:catAx>
      <c:valAx>
        <c:axId val="91219456"/>
        <c:scaling>
          <c:orientation val="minMax"/>
        </c:scaling>
        <c:axPos val="l"/>
        <c:majorGridlines>
          <c:spPr>
            <a:ln w="1269">
              <a:solidFill>
                <a:srgbClr val="000000"/>
              </a:solidFill>
              <a:prstDash val="solid"/>
            </a:ln>
          </c:spPr>
        </c:majorGridlines>
        <c:title>
          <c:tx>
            <c:rich>
              <a:bodyPr/>
              <a:lstStyle/>
              <a:p>
                <a:pPr>
                  <a:defRPr sz="400" b="1" i="0" u="none" strike="noStrike" baseline="0">
                    <a:solidFill>
                      <a:srgbClr val="000000"/>
                    </a:solidFill>
                    <a:latin typeface="Arial"/>
                    <a:ea typeface="Arial"/>
                    <a:cs typeface="Arial"/>
                  </a:defRPr>
                </a:pPr>
                <a:r>
                  <a:rPr lang="de-DE"/>
                  <a:t>[m]</a:t>
                </a:r>
              </a:p>
            </c:rich>
          </c:tx>
          <c:layout>
            <c:manualLayout>
              <c:xMode val="edge"/>
              <c:yMode val="edge"/>
              <c:x val="1.0909120734908143E-2"/>
              <c:y val="0.45066280533674274"/>
            </c:manualLayout>
          </c:layout>
          <c:spPr>
            <a:noFill/>
            <a:ln w="10153">
              <a:noFill/>
            </a:ln>
          </c:spPr>
        </c:title>
        <c:numFmt formatCode="General" sourceLinked="1"/>
        <c:tickLblPos val="nextTo"/>
        <c:spPr>
          <a:ln w="1269">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de-DE"/>
          </a:p>
        </c:txPr>
        <c:crossAx val="91180416"/>
        <c:crosses val="autoZero"/>
        <c:crossBetween val="between"/>
      </c:valAx>
      <c:spPr>
        <a:solidFill>
          <a:srgbClr val="C0C0C0"/>
        </a:solidFill>
        <a:ln w="5077">
          <a:solidFill>
            <a:srgbClr val="808080"/>
          </a:solidFill>
          <a:prstDash val="solid"/>
        </a:ln>
      </c:spPr>
    </c:plotArea>
    <c:plotVisOnly val="1"/>
    <c:dispBlanksAs val="gap"/>
  </c:chart>
  <c:spPr>
    <a:noFill/>
    <a:ln>
      <a:noFill/>
    </a:ln>
  </c:spPr>
  <c:txPr>
    <a:bodyPr/>
    <a:lstStyle/>
    <a:p>
      <a:pPr>
        <a:defRPr sz="400" b="0" i="0" u="none" strike="noStrike" baseline="0">
          <a:solidFill>
            <a:srgbClr val="000000"/>
          </a:solidFill>
          <a:latin typeface="Arial"/>
          <a:ea typeface="Arial"/>
          <a:cs typeface="Arial"/>
        </a:defRPr>
      </a:pPr>
      <a:endParaRPr lang="de-DE"/>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480" b="1" i="0" u="none" strike="noStrike" baseline="0">
                <a:solidFill>
                  <a:srgbClr val="000000"/>
                </a:solidFill>
                <a:latin typeface="Arial"/>
                <a:ea typeface="Arial"/>
                <a:cs typeface="Arial"/>
              </a:defRPr>
            </a:pPr>
            <a:r>
              <a:rPr lang="de-DE"/>
              <a:t>Materialverteilung</a:t>
            </a:r>
          </a:p>
        </c:rich>
      </c:tx>
      <c:layout>
        <c:manualLayout>
          <c:xMode val="edge"/>
          <c:yMode val="edge"/>
          <c:x val="0.42545450568678927"/>
          <c:y val="2.0618523824389098E-2"/>
        </c:manualLayout>
      </c:layout>
      <c:spPr>
        <a:noFill/>
        <a:ln w="10153">
          <a:noFill/>
        </a:ln>
      </c:spPr>
    </c:title>
    <c:view3D>
      <c:perspective val="0"/>
    </c:view3D>
    <c:plotArea>
      <c:layout>
        <c:manualLayout>
          <c:layoutTarget val="inner"/>
          <c:xMode val="edge"/>
          <c:yMode val="edge"/>
          <c:x val="9.0000000000000024E-2"/>
          <c:y val="0.32842415316642137"/>
          <c:w val="0.8609090909090914"/>
          <c:h val="0.55228276877761362"/>
        </c:manualLayout>
      </c:layout>
      <c:pie3DChart>
        <c:varyColors val="1"/>
        <c:ser>
          <c:idx val="0"/>
          <c:order val="0"/>
          <c:spPr>
            <a:solidFill>
              <a:srgbClr val="9999FF"/>
            </a:solidFill>
            <a:ln w="5077">
              <a:solidFill>
                <a:srgbClr val="000000"/>
              </a:solidFill>
              <a:prstDash val="solid"/>
            </a:ln>
          </c:spPr>
          <c:explosion val="25"/>
          <c:dPt>
            <c:idx val="1"/>
            <c:spPr>
              <a:solidFill>
                <a:srgbClr val="993366"/>
              </a:solidFill>
              <a:ln w="5077">
                <a:solidFill>
                  <a:srgbClr val="000000"/>
                </a:solidFill>
                <a:prstDash val="solid"/>
              </a:ln>
            </c:spPr>
          </c:dPt>
          <c:dPt>
            <c:idx val="2"/>
            <c:spPr>
              <a:solidFill>
                <a:srgbClr val="FFFFCC"/>
              </a:solidFill>
              <a:ln w="5077">
                <a:solidFill>
                  <a:srgbClr val="000000"/>
                </a:solidFill>
                <a:prstDash val="solid"/>
              </a:ln>
            </c:spPr>
          </c:dPt>
          <c:dPt>
            <c:idx val="3"/>
            <c:spPr>
              <a:solidFill>
                <a:srgbClr val="CCFFFF"/>
              </a:solidFill>
              <a:ln w="5077">
                <a:solidFill>
                  <a:srgbClr val="000000"/>
                </a:solidFill>
                <a:prstDash val="solid"/>
              </a:ln>
            </c:spPr>
          </c:dPt>
          <c:dPt>
            <c:idx val="4"/>
            <c:spPr>
              <a:solidFill>
                <a:srgbClr val="660066"/>
              </a:solidFill>
              <a:ln w="5077">
                <a:solidFill>
                  <a:srgbClr val="000000"/>
                </a:solidFill>
                <a:prstDash val="solid"/>
              </a:ln>
            </c:spPr>
          </c:dPt>
          <c:dPt>
            <c:idx val="5"/>
            <c:spPr>
              <a:solidFill>
                <a:srgbClr val="FF8080"/>
              </a:solidFill>
              <a:ln w="5077">
                <a:solidFill>
                  <a:srgbClr val="000000"/>
                </a:solidFill>
                <a:prstDash val="solid"/>
              </a:ln>
            </c:spPr>
          </c:dPt>
          <c:dPt>
            <c:idx val="6"/>
            <c:spPr>
              <a:solidFill>
                <a:srgbClr val="0066CC"/>
              </a:solidFill>
              <a:ln w="5077">
                <a:solidFill>
                  <a:srgbClr val="000000"/>
                </a:solidFill>
                <a:prstDash val="solid"/>
              </a:ln>
            </c:spPr>
          </c:dPt>
          <c:dPt>
            <c:idx val="7"/>
            <c:spPr>
              <a:solidFill>
                <a:srgbClr val="CCCCFF"/>
              </a:solidFill>
              <a:ln w="5077">
                <a:solidFill>
                  <a:srgbClr val="000000"/>
                </a:solidFill>
                <a:prstDash val="solid"/>
              </a:ln>
            </c:spPr>
          </c:dPt>
          <c:dLbls>
            <c:dLbl>
              <c:idx val="2"/>
              <c:layout>
                <c:manualLayout>
                  <c:x val="-0.10559258927861299"/>
                  <c:y val="5.4710416279138661E-3"/>
                </c:manualLayout>
              </c:layout>
              <c:dLblPos val="bestFit"/>
              <c:showCatName val="1"/>
              <c:showPercent val="1"/>
            </c:dLbl>
            <c:dLbl>
              <c:idx val="3"/>
              <c:layout>
                <c:manualLayout>
                  <c:x val="-7.5659627773800975E-2"/>
                  <c:y val="-8.2794616723767714E-2"/>
                </c:manualLayout>
              </c:layout>
              <c:dLblPos val="bestFit"/>
              <c:showCatName val="1"/>
              <c:showPercent val="1"/>
            </c:dLbl>
            <c:dLbl>
              <c:idx val="4"/>
              <c:layout>
                <c:manualLayout>
                  <c:x val="-3.0371798695617621E-2"/>
                  <c:y val="-9.5293393053854175E-2"/>
                </c:manualLayout>
              </c:layout>
              <c:dLblPos val="bestFit"/>
              <c:showCatName val="1"/>
              <c:showPercent val="1"/>
            </c:dLbl>
            <c:dLbl>
              <c:idx val="5"/>
              <c:layout>
                <c:manualLayout>
                  <c:x val="3.1758530183726729E-3"/>
                  <c:y val="-9.7078801880340793E-2"/>
                </c:manualLayout>
              </c:layout>
              <c:dLblPos val="bestFit"/>
              <c:showCatName val="1"/>
              <c:showPercent val="1"/>
            </c:dLbl>
            <c:dLbl>
              <c:idx val="6"/>
              <c:layout>
                <c:manualLayout>
                  <c:x val="-9.4364113576712472E-3"/>
                  <c:y val="-0.10244833087530769"/>
                </c:manualLayout>
              </c:layout>
              <c:dLblPos val="bestFit"/>
              <c:showCatName val="1"/>
              <c:showPercent val="1"/>
            </c:dLbl>
            <c:dLbl>
              <c:idx val="7"/>
              <c:layout>
                <c:manualLayout>
                  <c:x val="1.1451970492324864E-2"/>
                  <c:y val="-7.8847189571766785E-2"/>
                </c:manualLayout>
              </c:layout>
              <c:dLblPos val="bestFit"/>
              <c:showCatName val="1"/>
              <c:showPercent val="1"/>
            </c:dLbl>
            <c:dLbl>
              <c:idx val="8"/>
              <c:layout>
                <c:manualLayout>
                  <c:xMode val="edge"/>
                  <c:yMode val="edge"/>
                  <c:x val="0.43818181818181834"/>
                  <c:y val="0.24889543446244494"/>
                </c:manualLayout>
              </c:layout>
              <c:dLblPos val="bestFit"/>
              <c:showCatName val="1"/>
              <c:showPercent val="1"/>
            </c:dLbl>
            <c:numFmt formatCode="0%" sourceLinked="0"/>
            <c:spPr>
              <a:noFill/>
              <a:ln w="10153">
                <a:noFill/>
              </a:ln>
            </c:spPr>
            <c:txPr>
              <a:bodyPr/>
              <a:lstStyle/>
              <a:p>
                <a:pPr>
                  <a:defRPr sz="370" b="0" i="0" u="none" strike="noStrike" baseline="0">
                    <a:solidFill>
                      <a:srgbClr val="000000"/>
                    </a:solidFill>
                    <a:latin typeface="Arial"/>
                    <a:ea typeface="Arial"/>
                    <a:cs typeface="Arial"/>
                  </a:defRPr>
                </a:pPr>
                <a:endParaRPr lang="de-DE"/>
              </a:p>
            </c:txPr>
            <c:showCatName val="1"/>
            <c:showPercent val="1"/>
            <c:showLeaderLines val="1"/>
          </c:dLbls>
          <c:cat>
            <c:strRef>
              <c:f>Statistik_Material!$E$5:$E$12</c:f>
              <c:strCache>
                <c:ptCount val="8"/>
                <c:pt idx="0">
                  <c:v>Beton</c:v>
                </c:pt>
                <c:pt idx="1">
                  <c:v>Steinzeug</c:v>
                </c:pt>
                <c:pt idx="2">
                  <c:v>GFK</c:v>
                </c:pt>
                <c:pt idx="3">
                  <c:v>Kunststoff</c:v>
                </c:pt>
                <c:pt idx="4">
                  <c:v>Mauerwerk</c:v>
                </c:pt>
                <c:pt idx="5">
                  <c:v>PEHD</c:v>
                </c:pt>
                <c:pt idx="6">
                  <c:v>Sonstige</c:v>
                </c:pt>
                <c:pt idx="7">
                  <c:v>unbekannt</c:v>
                </c:pt>
              </c:strCache>
            </c:strRef>
          </c:cat>
          <c:val>
            <c:numRef>
              <c:f>Statistik_Material!$F$5:$F$12</c:f>
              <c:numCache>
                <c:formatCode>0</c:formatCode>
                <c:ptCount val="8"/>
                <c:pt idx="0">
                  <c:v>677.57419300000061</c:v>
                </c:pt>
                <c:pt idx="1">
                  <c:v>780.7604219999954</c:v>
                </c:pt>
                <c:pt idx="2">
                  <c:v>15.702525999999997</c:v>
                </c:pt>
                <c:pt idx="3">
                  <c:v>16.660663000000007</c:v>
                </c:pt>
                <c:pt idx="4">
                  <c:v>32.090080000000015</c:v>
                </c:pt>
                <c:pt idx="5">
                  <c:v>46.793769000000054</c:v>
                </c:pt>
                <c:pt idx="6">
                  <c:v>21.786206999999997</c:v>
                </c:pt>
                <c:pt idx="7">
                  <c:v>40.498667999999931</c:v>
                </c:pt>
              </c:numCache>
            </c:numRef>
          </c:val>
        </c:ser>
      </c:pie3DChart>
      <c:spPr>
        <a:noFill/>
        <a:ln w="10153">
          <a:noFill/>
        </a:ln>
      </c:spPr>
    </c:plotArea>
    <c:plotVisOnly val="1"/>
    <c:dispBlanksAs val="zero"/>
  </c:chart>
  <c:spPr>
    <a:noFill/>
    <a:ln>
      <a:noFill/>
    </a:ln>
  </c:spPr>
  <c:txPr>
    <a:bodyPr/>
    <a:lstStyle/>
    <a:p>
      <a:pPr>
        <a:defRPr sz="400" b="0" i="0" u="none" strike="noStrike" baseline="0">
          <a:solidFill>
            <a:srgbClr val="000000"/>
          </a:solidFill>
          <a:latin typeface="Arial"/>
          <a:ea typeface="Arial"/>
          <a:cs typeface="Arial"/>
        </a:defRPr>
      </a:pPr>
      <a:endParaRPr lang="de-DE"/>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480" b="1" i="0" u="none" strike="noStrike" baseline="0">
                <a:solidFill>
                  <a:srgbClr val="000000"/>
                </a:solidFill>
                <a:latin typeface="Arial"/>
                <a:ea typeface="Arial"/>
                <a:cs typeface="Arial"/>
              </a:defRPr>
            </a:pPr>
            <a:r>
              <a:rPr lang="de-DE"/>
              <a:t>Baujahresverteilung</a:t>
            </a:r>
          </a:p>
        </c:rich>
      </c:tx>
      <c:layout>
        <c:manualLayout>
          <c:xMode val="edge"/>
          <c:yMode val="edge"/>
          <c:x val="0.41727279213314428"/>
          <c:y val="2.0618647936214807E-2"/>
        </c:manualLayout>
      </c:layout>
      <c:spPr>
        <a:noFill/>
        <a:ln w="10169">
          <a:noFill/>
        </a:ln>
      </c:spPr>
    </c:title>
    <c:plotArea>
      <c:layout>
        <c:manualLayout>
          <c:layoutTarget val="inner"/>
          <c:xMode val="edge"/>
          <c:yMode val="edge"/>
          <c:x val="7.454545454545454E-2"/>
          <c:y val="0.11929307805596469"/>
          <c:w val="0.91545454545454541"/>
          <c:h val="0.77025036818851289"/>
        </c:manualLayout>
      </c:layout>
      <c:barChart>
        <c:barDir val="col"/>
        <c:grouping val="clustered"/>
        <c:ser>
          <c:idx val="0"/>
          <c:order val="0"/>
          <c:spPr>
            <a:solidFill>
              <a:srgbClr val="9999FF"/>
            </a:solidFill>
            <a:ln w="5084">
              <a:solidFill>
                <a:srgbClr val="000000"/>
              </a:solidFill>
              <a:prstDash val="solid"/>
            </a:ln>
          </c:spPr>
          <c:dLbls>
            <c:spPr>
              <a:noFill/>
              <a:ln w="10169">
                <a:noFill/>
              </a:ln>
            </c:spPr>
            <c:txPr>
              <a:bodyPr/>
              <a:lstStyle/>
              <a:p>
                <a:pPr>
                  <a:defRPr sz="400" b="0" i="0" u="none" strike="noStrike" baseline="0">
                    <a:solidFill>
                      <a:srgbClr val="000000"/>
                    </a:solidFill>
                    <a:latin typeface="Arial"/>
                    <a:ea typeface="Arial"/>
                    <a:cs typeface="Arial"/>
                  </a:defRPr>
                </a:pPr>
                <a:endParaRPr lang="de-DE"/>
              </a:p>
            </c:txPr>
            <c:showVal val="1"/>
          </c:dLbls>
          <c:cat>
            <c:strRef>
              <c:f>Statistik_BJ!$E$2:$E$14</c:f>
              <c:strCache>
                <c:ptCount val="13"/>
                <c:pt idx="0">
                  <c:v>unbekannt</c:v>
                </c:pt>
                <c:pt idx="1">
                  <c:v>bis 1900</c:v>
                </c:pt>
                <c:pt idx="2">
                  <c:v>bis 1910</c:v>
                </c:pt>
                <c:pt idx="3">
                  <c:v>bis 1920</c:v>
                </c:pt>
                <c:pt idx="4">
                  <c:v>bis 1930</c:v>
                </c:pt>
                <c:pt idx="5">
                  <c:v>bis 1940</c:v>
                </c:pt>
                <c:pt idx="6">
                  <c:v>bis 1950</c:v>
                </c:pt>
                <c:pt idx="7">
                  <c:v>bis 1960</c:v>
                </c:pt>
                <c:pt idx="8">
                  <c:v>bis 1970</c:v>
                </c:pt>
                <c:pt idx="9">
                  <c:v>bis 1980</c:v>
                </c:pt>
                <c:pt idx="10">
                  <c:v>bis 1990</c:v>
                </c:pt>
                <c:pt idx="11">
                  <c:v>bis 2000</c:v>
                </c:pt>
                <c:pt idx="12">
                  <c:v>bis 2010</c:v>
                </c:pt>
              </c:strCache>
            </c:strRef>
          </c:cat>
          <c:val>
            <c:numRef>
              <c:f>Statistik_BJ!$I$2:$I$14</c:f>
              <c:numCache>
                <c:formatCode>0.0</c:formatCode>
                <c:ptCount val="13"/>
                <c:pt idx="0">
                  <c:v>0.94282142125906365</c:v>
                </c:pt>
                <c:pt idx="1">
                  <c:v>1.1577710403639092</c:v>
                </c:pt>
                <c:pt idx="2">
                  <c:v>5.5712792747047661</c:v>
                </c:pt>
                <c:pt idx="3">
                  <c:v>5.1259846752423277</c:v>
                </c:pt>
                <c:pt idx="4">
                  <c:v>7.4181579645458005</c:v>
                </c:pt>
                <c:pt idx="5">
                  <c:v>8.0000504983301539</c:v>
                </c:pt>
                <c:pt idx="6">
                  <c:v>1.5809647905712394</c:v>
                </c:pt>
                <c:pt idx="7">
                  <c:v>11.395027045872459</c:v>
                </c:pt>
                <c:pt idx="8">
                  <c:v>16.975543305785756</c:v>
                </c:pt>
                <c:pt idx="9">
                  <c:v>13.433855143440223</c:v>
                </c:pt>
                <c:pt idx="10">
                  <c:v>9.849059993959969</c:v>
                </c:pt>
                <c:pt idx="11">
                  <c:v>9.6337509956002698</c:v>
                </c:pt>
                <c:pt idx="12">
                  <c:v>8.9157338503240577</c:v>
                </c:pt>
              </c:numCache>
            </c:numRef>
          </c:val>
        </c:ser>
        <c:axId val="89915392"/>
        <c:axId val="89917312"/>
      </c:barChart>
      <c:catAx>
        <c:axId val="89915392"/>
        <c:scaling>
          <c:orientation val="minMax"/>
        </c:scaling>
        <c:axPos val="b"/>
        <c:title>
          <c:tx>
            <c:rich>
              <a:bodyPr/>
              <a:lstStyle/>
              <a:p>
                <a:pPr>
                  <a:defRPr sz="400" b="1" i="0" u="none" strike="noStrike" baseline="0">
                    <a:solidFill>
                      <a:srgbClr val="000000"/>
                    </a:solidFill>
                    <a:latin typeface="Arial"/>
                    <a:ea typeface="Arial"/>
                    <a:cs typeface="Arial"/>
                  </a:defRPr>
                </a:pPr>
                <a:r>
                  <a:rPr lang="de-DE"/>
                  <a:t>Jahre</a:t>
                </a:r>
              </a:p>
            </c:rich>
          </c:tx>
          <c:layout>
            <c:manualLayout>
              <c:xMode val="edge"/>
              <c:yMode val="edge"/>
              <c:x val="0.51181810189486032"/>
              <c:y val="0.94108980489171634"/>
            </c:manualLayout>
          </c:layout>
          <c:spPr>
            <a:noFill/>
            <a:ln w="10169">
              <a:noFill/>
            </a:ln>
          </c:spPr>
        </c:title>
        <c:numFmt formatCode="General" sourceLinked="1"/>
        <c:tickLblPos val="nextTo"/>
        <c:spPr>
          <a:ln w="1271">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de-DE"/>
          </a:p>
        </c:txPr>
        <c:crossAx val="89917312"/>
        <c:crosses val="autoZero"/>
        <c:auto val="1"/>
        <c:lblAlgn val="ctr"/>
        <c:lblOffset val="100"/>
        <c:tickLblSkip val="1"/>
        <c:tickMarkSkip val="1"/>
      </c:catAx>
      <c:valAx>
        <c:axId val="89917312"/>
        <c:scaling>
          <c:orientation val="minMax"/>
        </c:scaling>
        <c:axPos val="l"/>
        <c:majorGridlines>
          <c:spPr>
            <a:ln w="1271">
              <a:solidFill>
                <a:srgbClr val="000000"/>
              </a:solidFill>
              <a:prstDash val="solid"/>
            </a:ln>
          </c:spPr>
        </c:majorGridlines>
        <c:title>
          <c:tx>
            <c:rich>
              <a:bodyPr/>
              <a:lstStyle/>
              <a:p>
                <a:pPr>
                  <a:defRPr sz="400" b="1" i="0" u="none" strike="noStrike" baseline="0">
                    <a:solidFill>
                      <a:srgbClr val="000000"/>
                    </a:solidFill>
                    <a:latin typeface="Arial"/>
                    <a:ea typeface="Arial"/>
                    <a:cs typeface="Arial"/>
                  </a:defRPr>
                </a:pPr>
                <a:r>
                  <a:rPr lang="de-DE"/>
                  <a:t>Prozent</a:t>
                </a:r>
              </a:p>
            </c:rich>
          </c:tx>
          <c:layout>
            <c:manualLayout>
              <c:xMode val="edge"/>
              <c:yMode val="edge"/>
              <c:x val="1.0909083714867903E-2"/>
              <c:y val="0.45949927404985336"/>
            </c:manualLayout>
          </c:layout>
          <c:spPr>
            <a:noFill/>
            <a:ln w="10169">
              <a:noFill/>
            </a:ln>
          </c:spPr>
        </c:title>
        <c:numFmt formatCode="0.0" sourceLinked="1"/>
        <c:tickLblPos val="nextTo"/>
        <c:spPr>
          <a:ln w="1271">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de-DE"/>
          </a:p>
        </c:txPr>
        <c:crossAx val="89915392"/>
        <c:crosses val="autoZero"/>
        <c:crossBetween val="between"/>
      </c:valAx>
      <c:spPr>
        <a:solidFill>
          <a:srgbClr val="C0C0C0"/>
        </a:solidFill>
        <a:ln w="5084">
          <a:solidFill>
            <a:srgbClr val="808080"/>
          </a:solidFill>
          <a:prstDash val="solid"/>
        </a:ln>
      </c:spPr>
    </c:plotArea>
    <c:plotVisOnly val="1"/>
    <c:dispBlanksAs val="gap"/>
  </c:chart>
  <c:spPr>
    <a:noFill/>
    <a:ln>
      <a:noFill/>
    </a:ln>
  </c:spPr>
  <c:txPr>
    <a:bodyPr/>
    <a:lstStyle/>
    <a:p>
      <a:pPr>
        <a:defRPr sz="400" b="0" i="0" u="none" strike="noStrike" baseline="0">
          <a:solidFill>
            <a:srgbClr val="000000"/>
          </a:solidFill>
          <a:latin typeface="Arial"/>
          <a:ea typeface="Arial"/>
          <a:cs typeface="Arial"/>
        </a:defRPr>
      </a:pPr>
      <a:endParaRPr lang="de-DE"/>
    </a:p>
  </c:txPr>
  <c:externalData r:id="rId1"/>
</c:chartSpac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2616</Words>
  <Characters>16486</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jost</dc:creator>
  <cp:keywords/>
  <dc:description/>
  <cp:lastModifiedBy>aja</cp:lastModifiedBy>
  <cp:revision>11</cp:revision>
  <dcterms:created xsi:type="dcterms:W3CDTF">2012-08-16T13:00:00Z</dcterms:created>
  <dcterms:modified xsi:type="dcterms:W3CDTF">2012-10-22T13:20:00Z</dcterms:modified>
</cp:coreProperties>
</file>